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078" w:rsidRPr="0005122E" w:rsidRDefault="008D4078" w:rsidP="008D4078">
      <w:pPr>
        <w:widowControl/>
        <w:spacing w:line="408" w:lineRule="auto"/>
        <w:jc w:val="left"/>
        <w:rPr>
          <w:rFonts w:ascii="宋体" w:eastAsia="宋体" w:hAnsi="宋体" w:cs="宋体"/>
          <w:kern w:val="0"/>
          <w:sz w:val="24"/>
          <w:szCs w:val="24"/>
        </w:rPr>
      </w:pPr>
      <w:r w:rsidRPr="0005122E">
        <w:rPr>
          <w:rFonts w:ascii="宋体" w:eastAsia="宋体" w:hAnsi="宋体" w:cs="宋体" w:hint="eastAsia"/>
          <w:kern w:val="0"/>
          <w:sz w:val="24"/>
          <w:szCs w:val="24"/>
        </w:rPr>
        <w:t>附件1：</w:t>
      </w:r>
    </w:p>
    <w:p w:rsidR="008D4078" w:rsidRPr="0005122E" w:rsidRDefault="008D4078" w:rsidP="008D4078">
      <w:pPr>
        <w:widowControl/>
        <w:spacing w:line="408" w:lineRule="auto"/>
        <w:jc w:val="center"/>
        <w:rPr>
          <w:rFonts w:ascii="宋体" w:eastAsia="宋体" w:hAnsi="宋体" w:cs="宋体"/>
          <w:kern w:val="0"/>
          <w:sz w:val="24"/>
          <w:szCs w:val="24"/>
        </w:rPr>
      </w:pPr>
      <w:r w:rsidRPr="0005122E">
        <w:rPr>
          <w:rFonts w:hint="eastAsia"/>
          <w:b/>
          <w:bCs/>
          <w:sz w:val="23"/>
          <w:szCs w:val="23"/>
        </w:rPr>
        <w:t>2017</w:t>
      </w:r>
      <w:r w:rsidRPr="0005122E">
        <w:rPr>
          <w:rFonts w:hint="eastAsia"/>
          <w:b/>
          <w:bCs/>
          <w:sz w:val="23"/>
          <w:szCs w:val="23"/>
        </w:rPr>
        <w:t>年福州大学贵重仪器设备开放测试基金</w:t>
      </w:r>
      <w:r>
        <w:rPr>
          <w:rFonts w:ascii="宋体" w:eastAsia="宋体" w:hAnsi="宋体" w:cs="宋体" w:hint="eastAsia"/>
          <w:b/>
          <w:bCs/>
          <w:kern w:val="0"/>
          <w:sz w:val="23"/>
          <w:szCs w:val="23"/>
        </w:rPr>
        <w:t>未</w:t>
      </w:r>
      <w:r w:rsidRPr="0005122E">
        <w:rPr>
          <w:rFonts w:ascii="宋体" w:eastAsia="宋体" w:hAnsi="宋体" w:cs="宋体" w:hint="eastAsia"/>
          <w:b/>
          <w:bCs/>
          <w:kern w:val="0"/>
          <w:sz w:val="23"/>
          <w:szCs w:val="23"/>
        </w:rPr>
        <w:t>结题名单</w:t>
      </w:r>
    </w:p>
    <w:tbl>
      <w:tblPr>
        <w:tblW w:w="8619" w:type="dxa"/>
        <w:jc w:val="center"/>
        <w:tblLook w:val="04A0"/>
      </w:tblPr>
      <w:tblGrid>
        <w:gridCol w:w="1176"/>
        <w:gridCol w:w="957"/>
        <w:gridCol w:w="1313"/>
        <w:gridCol w:w="2938"/>
        <w:gridCol w:w="2235"/>
      </w:tblGrid>
      <w:tr w:rsidR="008D4078" w:rsidRPr="0005122E" w:rsidTr="003A0749">
        <w:trPr>
          <w:trHeight w:val="660"/>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8D4078" w:rsidRPr="0005122E" w:rsidRDefault="008D4078" w:rsidP="003A0749">
            <w:pPr>
              <w:widowControl/>
              <w:jc w:val="center"/>
              <w:rPr>
                <w:rFonts w:ascii="黑体" w:eastAsia="黑体" w:hAnsi="黑体" w:cs="宋体"/>
                <w:kern w:val="0"/>
                <w:sz w:val="24"/>
                <w:szCs w:val="24"/>
              </w:rPr>
            </w:pPr>
            <w:r w:rsidRPr="0005122E">
              <w:br w:type="page"/>
            </w:r>
            <w:r w:rsidRPr="0005122E">
              <w:br w:type="page"/>
            </w:r>
            <w:r w:rsidRPr="0005122E">
              <w:rPr>
                <w:rFonts w:ascii="黑体" w:eastAsia="黑体" w:hAnsi="黑体" w:cs="宋体" w:hint="eastAsia"/>
                <w:kern w:val="0"/>
                <w:sz w:val="24"/>
              </w:rPr>
              <w:t>序号</w:t>
            </w:r>
          </w:p>
        </w:tc>
        <w:tc>
          <w:tcPr>
            <w:tcW w:w="957" w:type="dxa"/>
            <w:tcBorders>
              <w:top w:val="single" w:sz="8" w:space="0" w:color="auto"/>
              <w:left w:val="nil"/>
              <w:bottom w:val="single" w:sz="4" w:space="0" w:color="auto"/>
              <w:right w:val="single" w:sz="4" w:space="0" w:color="auto"/>
            </w:tcBorders>
            <w:vAlign w:val="center"/>
            <w:hideMark/>
          </w:tcPr>
          <w:p w:rsidR="008D4078" w:rsidRPr="0005122E" w:rsidRDefault="008D4078" w:rsidP="003A0749">
            <w:pPr>
              <w:widowControl/>
              <w:jc w:val="center"/>
              <w:rPr>
                <w:rFonts w:ascii="黑体" w:eastAsia="黑体" w:hAnsi="黑体" w:cs="宋体"/>
                <w:kern w:val="0"/>
                <w:sz w:val="24"/>
                <w:szCs w:val="24"/>
              </w:rPr>
            </w:pPr>
            <w:r w:rsidRPr="0005122E">
              <w:rPr>
                <w:rFonts w:ascii="黑体" w:eastAsia="黑体" w:hAnsi="黑体" w:cs="宋体" w:hint="eastAsia"/>
                <w:kern w:val="0"/>
                <w:sz w:val="24"/>
              </w:rPr>
              <w:t>姓名</w:t>
            </w:r>
          </w:p>
        </w:tc>
        <w:tc>
          <w:tcPr>
            <w:tcW w:w="1313" w:type="dxa"/>
            <w:tcBorders>
              <w:top w:val="single" w:sz="8" w:space="0" w:color="auto"/>
              <w:left w:val="nil"/>
              <w:bottom w:val="single" w:sz="4" w:space="0" w:color="auto"/>
              <w:right w:val="single" w:sz="4" w:space="0" w:color="auto"/>
            </w:tcBorders>
            <w:vAlign w:val="center"/>
            <w:hideMark/>
          </w:tcPr>
          <w:p w:rsidR="008D4078" w:rsidRPr="0005122E" w:rsidRDefault="008D4078" w:rsidP="003A0749">
            <w:pPr>
              <w:widowControl/>
              <w:jc w:val="center"/>
              <w:rPr>
                <w:rFonts w:ascii="黑体" w:eastAsia="黑体" w:hAnsi="黑体" w:cs="宋体"/>
                <w:kern w:val="0"/>
                <w:sz w:val="24"/>
                <w:szCs w:val="24"/>
              </w:rPr>
            </w:pPr>
            <w:r w:rsidRPr="0005122E">
              <w:rPr>
                <w:rFonts w:ascii="黑体" w:eastAsia="黑体" w:hAnsi="黑体" w:cs="宋体" w:hint="eastAsia"/>
                <w:kern w:val="0"/>
                <w:sz w:val="24"/>
              </w:rPr>
              <w:t>学院</w:t>
            </w:r>
          </w:p>
        </w:tc>
        <w:tc>
          <w:tcPr>
            <w:tcW w:w="2938" w:type="dxa"/>
            <w:tcBorders>
              <w:top w:val="single" w:sz="8" w:space="0" w:color="auto"/>
              <w:left w:val="nil"/>
              <w:bottom w:val="single" w:sz="4" w:space="0" w:color="auto"/>
              <w:right w:val="single" w:sz="4" w:space="0" w:color="auto"/>
            </w:tcBorders>
            <w:vAlign w:val="center"/>
            <w:hideMark/>
          </w:tcPr>
          <w:p w:rsidR="008D4078" w:rsidRPr="0005122E" w:rsidRDefault="008D4078" w:rsidP="003A0749">
            <w:pPr>
              <w:widowControl/>
              <w:jc w:val="center"/>
              <w:rPr>
                <w:rFonts w:ascii="黑体" w:eastAsia="黑体" w:hAnsi="黑体" w:cs="宋体"/>
                <w:kern w:val="0"/>
                <w:sz w:val="24"/>
                <w:szCs w:val="24"/>
              </w:rPr>
            </w:pPr>
            <w:r w:rsidRPr="0005122E">
              <w:rPr>
                <w:rFonts w:ascii="黑体" w:eastAsia="黑体" w:hAnsi="黑体" w:cs="宋体" w:hint="eastAsia"/>
                <w:kern w:val="0"/>
                <w:sz w:val="24"/>
              </w:rPr>
              <w:t>项目名称</w:t>
            </w:r>
          </w:p>
        </w:tc>
        <w:tc>
          <w:tcPr>
            <w:tcW w:w="2235" w:type="dxa"/>
            <w:tcBorders>
              <w:top w:val="single" w:sz="8" w:space="0" w:color="auto"/>
              <w:left w:val="nil"/>
              <w:bottom w:val="single" w:sz="4" w:space="0" w:color="auto"/>
              <w:right w:val="single" w:sz="4" w:space="0" w:color="auto"/>
            </w:tcBorders>
            <w:vAlign w:val="center"/>
            <w:hideMark/>
          </w:tcPr>
          <w:p w:rsidR="008D4078" w:rsidRPr="0005122E" w:rsidRDefault="008D4078" w:rsidP="003A0749">
            <w:pPr>
              <w:widowControl/>
              <w:jc w:val="center"/>
              <w:rPr>
                <w:rFonts w:ascii="黑体" w:eastAsia="黑体" w:hAnsi="黑体" w:cs="宋体"/>
                <w:kern w:val="0"/>
                <w:sz w:val="24"/>
                <w:szCs w:val="24"/>
              </w:rPr>
            </w:pPr>
            <w:r>
              <w:rPr>
                <w:rFonts w:ascii="黑体" w:eastAsia="黑体" w:hAnsi="黑体" w:cs="宋体" w:hint="eastAsia"/>
                <w:kern w:val="0"/>
                <w:sz w:val="24"/>
                <w:szCs w:val="24"/>
              </w:rPr>
              <w:t>备注</w:t>
            </w: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2017T001</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蔡道平</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材料学院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基于三元过渡金属氧化物超级电容器电极材料的可控合成及其性能研究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2017T002</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proofErr w:type="gramStart"/>
            <w:r w:rsidRPr="0005122E">
              <w:rPr>
                <w:rFonts w:hint="eastAsia"/>
              </w:rPr>
              <w:t>程年才</w:t>
            </w:r>
            <w:proofErr w:type="gramEnd"/>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材料学院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高效长寿命燃料电池催化剂设计和制备</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2017T003</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邓平</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材料学院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新型苝酰亚胺半导体材料的合成与性能研究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2017T004</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proofErr w:type="gramStart"/>
            <w:r w:rsidRPr="0005122E">
              <w:rPr>
                <w:rFonts w:hint="eastAsia"/>
              </w:rPr>
              <w:t>吴啸</w:t>
            </w:r>
            <w:proofErr w:type="gramEnd"/>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材料学院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微波烧结制备</w:t>
            </w:r>
            <w:proofErr w:type="gramStart"/>
            <w:r w:rsidRPr="0005122E">
              <w:rPr>
                <w:rFonts w:hint="eastAsia"/>
              </w:rPr>
              <w:t>铌酸钾钠基透明铁电陶瓷</w:t>
            </w:r>
            <w:proofErr w:type="gramEnd"/>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2017T005</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郭智勇</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材料学院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多孔材料在光电子学和催化上的应用</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2017T006</w:t>
            </w:r>
          </w:p>
        </w:tc>
        <w:tc>
          <w:tcPr>
            <w:tcW w:w="957" w:type="dxa"/>
            <w:tcBorders>
              <w:top w:val="nil"/>
              <w:left w:val="nil"/>
              <w:bottom w:val="single" w:sz="4" w:space="0" w:color="auto"/>
              <w:right w:val="single" w:sz="4" w:space="0" w:color="auto"/>
            </w:tcBorders>
            <w:noWrap/>
            <w:vAlign w:val="center"/>
            <w:hideMark/>
          </w:tcPr>
          <w:p w:rsidR="008D4078" w:rsidRPr="0005122E" w:rsidRDefault="008D4078" w:rsidP="003A0749">
            <w:pPr>
              <w:jc w:val="center"/>
              <w:rPr>
                <w:rFonts w:ascii="宋体" w:hAnsi="宋体" w:cs="宋体"/>
                <w:sz w:val="24"/>
              </w:rPr>
            </w:pPr>
            <w:proofErr w:type="gramStart"/>
            <w:r w:rsidRPr="0005122E">
              <w:rPr>
                <w:rFonts w:hint="eastAsia"/>
              </w:rPr>
              <w:t>温翠莲</w:t>
            </w:r>
            <w:proofErr w:type="gramEnd"/>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材料学院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Si/Mg</w:t>
            </w:r>
            <w:r w:rsidRPr="0005122E">
              <w:rPr>
                <w:rFonts w:hint="eastAsia"/>
                <w:vertAlign w:val="subscript"/>
              </w:rPr>
              <w:t>2</w:t>
            </w:r>
            <w:r w:rsidRPr="0005122E">
              <w:rPr>
                <w:rFonts w:hint="eastAsia"/>
              </w:rPr>
              <w:t>Si/Ca</w:t>
            </w:r>
            <w:r w:rsidRPr="0005122E">
              <w:rPr>
                <w:rFonts w:hint="eastAsia"/>
                <w:vertAlign w:val="subscript"/>
              </w:rPr>
              <w:t>2</w:t>
            </w:r>
            <w:r w:rsidRPr="0005122E">
              <w:rPr>
                <w:rFonts w:hint="eastAsia"/>
              </w:rPr>
              <w:t>Si</w:t>
            </w:r>
            <w:r w:rsidRPr="0005122E">
              <w:rPr>
                <w:rFonts w:hint="eastAsia"/>
              </w:rPr>
              <w:t>薄膜的界面扩散反应行为及电声输运研究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2017T007</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俞瀚</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材料学院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离子共掺杂</w:t>
            </w:r>
            <w:r w:rsidRPr="0005122E">
              <w:rPr>
                <w:rFonts w:hint="eastAsia"/>
              </w:rPr>
              <w:t>ZnIn</w:t>
            </w:r>
            <w:r w:rsidRPr="0005122E">
              <w:rPr>
                <w:rFonts w:hint="eastAsia"/>
                <w:vertAlign w:val="subscript"/>
              </w:rPr>
              <w:t>2</w:t>
            </w:r>
            <w:r w:rsidRPr="0005122E">
              <w:rPr>
                <w:rFonts w:hint="eastAsia"/>
              </w:rPr>
              <w:t>S</w:t>
            </w:r>
            <w:r w:rsidRPr="0005122E">
              <w:rPr>
                <w:rFonts w:hint="eastAsia"/>
                <w:vertAlign w:val="subscript"/>
              </w:rPr>
              <w:t>4</w:t>
            </w:r>
            <w:r w:rsidRPr="0005122E">
              <w:rPr>
                <w:rFonts w:hint="eastAsia"/>
              </w:rPr>
              <w:t>：</w:t>
            </w:r>
            <w:r w:rsidRPr="0005122E">
              <w:rPr>
                <w:rFonts w:hint="eastAsia"/>
              </w:rPr>
              <w:t>Ln</w:t>
            </w:r>
            <w:r w:rsidRPr="0005122E">
              <w:rPr>
                <w:rFonts w:hint="eastAsia"/>
                <w:vertAlign w:val="superscript"/>
              </w:rPr>
              <w:t>3+</w:t>
            </w:r>
            <w:r w:rsidRPr="0005122E">
              <w:rPr>
                <w:rFonts w:hint="eastAsia"/>
              </w:rPr>
              <w:t>的上转换</w:t>
            </w:r>
            <w:r w:rsidRPr="0005122E">
              <w:rPr>
                <w:rFonts w:hint="eastAsia"/>
              </w:rPr>
              <w:t>-</w:t>
            </w:r>
            <w:r w:rsidRPr="0005122E">
              <w:rPr>
                <w:rFonts w:hint="eastAsia"/>
              </w:rPr>
              <w:t>光催化耦合效应研究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2017T008</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吴波</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材料学院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抗氧化和耐腐蚀多主元高熵合金的研制</w:t>
            </w:r>
            <w:r w:rsidRPr="0005122E">
              <w:rPr>
                <w:rFonts w:hint="eastAsia"/>
              </w:rPr>
              <w:t xml:space="preserve">   </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2017T009</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陈新</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化学学院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立方相铌酸</w:t>
            </w:r>
            <w:proofErr w:type="gramStart"/>
            <w:r w:rsidRPr="0005122E">
              <w:rPr>
                <w:rFonts w:hint="eastAsia"/>
              </w:rPr>
              <w:t>铽钙磁</w:t>
            </w:r>
            <w:proofErr w:type="gramEnd"/>
            <w:r w:rsidRPr="0005122E">
              <w:rPr>
                <w:rFonts w:hint="eastAsia"/>
              </w:rPr>
              <w:t>光晶体的结构调控、生长及性能研究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2017T010</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江龙光</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化学学院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血小板内皮细胞黏附分子</w:t>
            </w:r>
            <w:r w:rsidRPr="0005122E">
              <w:rPr>
                <w:rFonts w:hint="eastAsia"/>
              </w:rPr>
              <w:t>-1</w:t>
            </w:r>
            <w:r w:rsidRPr="0005122E">
              <w:rPr>
                <w:rFonts w:hint="eastAsia"/>
              </w:rPr>
              <w:t>的结构研究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2017T011</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贾潇</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化学学院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金属酞</w:t>
            </w:r>
            <w:proofErr w:type="gramStart"/>
            <w:r w:rsidRPr="0005122E">
              <w:rPr>
                <w:rFonts w:hint="eastAsia"/>
              </w:rPr>
              <w:t>菁</w:t>
            </w:r>
            <w:proofErr w:type="gramEnd"/>
            <w:r w:rsidRPr="0005122E">
              <w:rPr>
                <w:rFonts w:hint="eastAsia"/>
              </w:rPr>
              <w:t>/</w:t>
            </w:r>
            <w:r w:rsidRPr="0005122E">
              <w:rPr>
                <w:rFonts w:hint="eastAsia"/>
              </w:rPr>
              <w:t>无机氧化物复合物纳米结构材料的可控合成及性能研究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2017T012</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朱春玲</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化学学院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基于聚丙烯酸自组装体构建诊治一体化可降解型药物载体的研究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2017T013</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proofErr w:type="gramStart"/>
            <w:r w:rsidRPr="0005122E">
              <w:rPr>
                <w:rFonts w:hint="eastAsia"/>
              </w:rPr>
              <w:t>曹洋兵</w:t>
            </w:r>
            <w:proofErr w:type="gramEnd"/>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环资学院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循环荷载和孔隙水作用下花岗岩疲劳破坏机理研究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2017T014</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吕源财</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环资学院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纳米铁钯</w:t>
            </w:r>
            <w:r w:rsidRPr="0005122E">
              <w:rPr>
                <w:rFonts w:hint="eastAsia"/>
              </w:rPr>
              <w:t>/</w:t>
            </w:r>
            <w:r w:rsidRPr="0005122E">
              <w:rPr>
                <w:rFonts w:hint="eastAsia"/>
              </w:rPr>
              <w:t>微生物联合降解多溴</w:t>
            </w:r>
            <w:proofErr w:type="gramStart"/>
            <w:r w:rsidRPr="0005122E">
              <w:rPr>
                <w:rFonts w:hint="eastAsia"/>
              </w:rPr>
              <w:t>联苯醚的研究</w:t>
            </w:r>
            <w:proofErr w:type="gramEnd"/>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2017T016</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陈晓晨</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环资学院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利用体外试验方法研究环境污染物对人体的健康风险</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2017T017</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林久养</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环资学院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致密超滤膜在高纯度数码喷墨印花染料制备中的应用及其离子传质机制研究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lastRenderedPageBreak/>
              <w:t>2017T018</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王金贵</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环资学院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瓦斯蚀损</w:t>
            </w:r>
            <w:proofErr w:type="gramStart"/>
            <w:r w:rsidRPr="0005122E">
              <w:rPr>
                <w:rFonts w:hint="eastAsia"/>
              </w:rPr>
              <w:t>作用下煤体</w:t>
            </w:r>
            <w:proofErr w:type="gramEnd"/>
            <w:r w:rsidRPr="0005122E">
              <w:rPr>
                <w:rFonts w:hint="eastAsia"/>
              </w:rPr>
              <w:t>强度变化的分子结构显现特征</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2017T019</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杨丽阳</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环资学院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闽江溶解有机物的光谱学特征研究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2017T020</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范治松</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机械学院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Fe/Al</w:t>
            </w:r>
            <w:r w:rsidRPr="0005122E">
              <w:rPr>
                <w:rFonts w:hint="eastAsia"/>
              </w:rPr>
              <w:t>异种金属磁脉冲焊接界面组织微观形态及接头力学性能研究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2017T021</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罗芳</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生工学院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钙钛矿量子</w:t>
            </w:r>
            <w:proofErr w:type="gramStart"/>
            <w:r w:rsidRPr="0005122E">
              <w:rPr>
                <w:rFonts w:hint="eastAsia"/>
              </w:rPr>
              <w:t>点电致化学发光</w:t>
            </w:r>
            <w:proofErr w:type="gramEnd"/>
            <w:r w:rsidRPr="0005122E">
              <w:rPr>
                <w:rFonts w:hint="eastAsia"/>
              </w:rPr>
              <w:t>生物传感器的研究及应用</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2017T023</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黄彦</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生工学院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壳聚糖</w:t>
            </w:r>
            <w:r w:rsidRPr="0005122E">
              <w:rPr>
                <w:rFonts w:hint="eastAsia"/>
              </w:rPr>
              <w:t>/</w:t>
            </w:r>
            <w:r w:rsidRPr="0005122E">
              <w:rPr>
                <w:rFonts w:hint="eastAsia"/>
              </w:rPr>
              <w:t>多价反离子复合胶体的研究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2017T024</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张芳</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生工学院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r w:rsidRPr="0005122E">
              <w:rPr>
                <w:rFonts w:hint="eastAsia"/>
              </w:rPr>
              <w:t>基于</w:t>
            </w:r>
            <w:r w:rsidRPr="0005122E">
              <w:t>DNA</w:t>
            </w:r>
            <w:r w:rsidRPr="0005122E">
              <w:rPr>
                <w:rFonts w:hint="eastAsia"/>
              </w:rPr>
              <w:t>回路及恒温扩增的高特异性现场核酸分析方法研究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2017T025</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杨娟娟</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生工学院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proofErr w:type="gramStart"/>
            <w:r w:rsidRPr="0005122E">
              <w:rPr>
                <w:rFonts w:hint="eastAsia"/>
              </w:rPr>
              <w:t>人程序</w:t>
            </w:r>
            <w:proofErr w:type="gramEnd"/>
            <w:r w:rsidRPr="0005122E">
              <w:rPr>
                <w:rFonts w:hint="eastAsia"/>
              </w:rPr>
              <w:t>性死亡受体</w:t>
            </w:r>
            <w:r w:rsidRPr="0005122E">
              <w:rPr>
                <w:rFonts w:hint="eastAsia"/>
              </w:rPr>
              <w:t>PD-1</w:t>
            </w:r>
            <w:r w:rsidRPr="0005122E">
              <w:rPr>
                <w:rFonts w:hint="eastAsia"/>
              </w:rPr>
              <w:t>与其配体</w:t>
            </w:r>
            <w:r w:rsidRPr="0005122E">
              <w:rPr>
                <w:rFonts w:hint="eastAsia"/>
              </w:rPr>
              <w:t>PD-L2</w:t>
            </w:r>
            <w:r w:rsidRPr="0005122E">
              <w:rPr>
                <w:rFonts w:hint="eastAsia"/>
              </w:rPr>
              <w:t>通路调节免疫应答的结构基础</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2017T026</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李婧影</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生工学院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基于</w:t>
            </w:r>
            <w:proofErr w:type="spellStart"/>
            <w:r w:rsidRPr="0005122E">
              <w:rPr>
                <w:rFonts w:hint="eastAsia"/>
              </w:rPr>
              <w:t>GaN</w:t>
            </w:r>
            <w:proofErr w:type="spellEnd"/>
            <w:r w:rsidRPr="0005122E">
              <w:rPr>
                <w:rFonts w:hint="eastAsia"/>
              </w:rPr>
              <w:t xml:space="preserve"> </w:t>
            </w:r>
            <w:r w:rsidRPr="0005122E">
              <w:rPr>
                <w:rFonts w:hint="eastAsia"/>
              </w:rPr>
              <w:t>纳米结构的</w:t>
            </w:r>
            <w:r w:rsidRPr="0005122E">
              <w:rPr>
                <w:rFonts w:hint="eastAsia"/>
              </w:rPr>
              <w:t>CTC</w:t>
            </w:r>
            <w:proofErr w:type="gramStart"/>
            <w:r w:rsidRPr="0005122E">
              <w:rPr>
                <w:rFonts w:hint="eastAsia"/>
              </w:rPr>
              <w:t>微流控</w:t>
            </w:r>
            <w:proofErr w:type="gramEnd"/>
            <w:r w:rsidRPr="0005122E">
              <w:rPr>
                <w:rFonts w:hint="eastAsia"/>
              </w:rPr>
              <w:t>芯片构建及差异蛋白研究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2017T027</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许鑫琦</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生工学院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金属离子对纤维素酶促降解动力学影响机制研究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2017T028</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黄国明</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生工学院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基于</w:t>
            </w:r>
            <w:proofErr w:type="gramStart"/>
            <w:r w:rsidRPr="0005122E">
              <w:rPr>
                <w:rFonts w:hint="eastAsia"/>
              </w:rPr>
              <w:t>层状双</w:t>
            </w:r>
            <w:proofErr w:type="gramEnd"/>
            <w:r w:rsidRPr="0005122E">
              <w:rPr>
                <w:rFonts w:hint="eastAsia"/>
              </w:rPr>
              <w:t>氢氧化物纳米材料的酸响应磁共振造影剂研究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2017T037</w:t>
            </w:r>
          </w:p>
        </w:tc>
        <w:tc>
          <w:tcPr>
            <w:tcW w:w="957" w:type="dxa"/>
            <w:tcBorders>
              <w:top w:val="nil"/>
              <w:left w:val="nil"/>
              <w:bottom w:val="single" w:sz="4" w:space="0" w:color="auto"/>
              <w:right w:val="single" w:sz="4" w:space="0" w:color="auto"/>
            </w:tcBorders>
            <w:noWrap/>
            <w:vAlign w:val="center"/>
            <w:hideMark/>
          </w:tcPr>
          <w:p w:rsidR="008D4078" w:rsidRPr="0005122E" w:rsidRDefault="008D4078" w:rsidP="003A0749">
            <w:pPr>
              <w:jc w:val="center"/>
              <w:rPr>
                <w:rFonts w:ascii="宋体" w:hAnsi="宋体" w:cs="宋体"/>
                <w:sz w:val="24"/>
              </w:rPr>
            </w:pPr>
            <w:r w:rsidRPr="0005122E">
              <w:rPr>
                <w:rFonts w:hint="eastAsia"/>
              </w:rPr>
              <w:t>徐松</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土木工程</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proofErr w:type="gramStart"/>
            <w:r w:rsidRPr="0005122E">
              <w:rPr>
                <w:rFonts w:hint="eastAsia"/>
              </w:rPr>
              <w:t>有机插层</w:t>
            </w:r>
            <w:proofErr w:type="gramEnd"/>
            <w:r w:rsidRPr="0005122E">
              <w:rPr>
                <w:rFonts w:hint="eastAsia"/>
              </w:rPr>
              <w:t>LDHs</w:t>
            </w:r>
            <w:r w:rsidRPr="0005122E">
              <w:rPr>
                <w:rFonts w:hint="eastAsia"/>
              </w:rPr>
              <w:t>改性沥青抗老化性能研究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882"/>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2017T038</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张峰</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土木工程</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高粘度、高弹性改性沥青抗老化性能的研究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2017T040</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左蔚然</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紫金学院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高压电脉冲破碎对斑岩铜矿矿石性质和分离特性的影响研究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05122E" w:rsidRDefault="008D4078" w:rsidP="003A0749">
            <w:pPr>
              <w:widowControl/>
              <w:jc w:val="left"/>
              <w:rPr>
                <w:rFonts w:ascii="宋体" w:hAnsi="宋体" w:cs="宋体"/>
                <w:kern w:val="0"/>
                <w:sz w:val="24"/>
              </w:rPr>
            </w:pPr>
            <w:r w:rsidRPr="0005122E">
              <w:rPr>
                <w:rFonts w:ascii="宋体" w:hAnsi="宋体" w:cs="宋体" w:hint="eastAsia"/>
                <w:kern w:val="0"/>
                <w:sz w:val="24"/>
              </w:rPr>
              <w:t>2017T041</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邓荣东</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紫金学院</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金属离子对菱锌矿硫化作用的影响及调控机制研究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916EB6" w:rsidRDefault="008D4078" w:rsidP="003A0749">
            <w:pPr>
              <w:widowControl/>
              <w:jc w:val="left"/>
              <w:rPr>
                <w:rFonts w:ascii="宋体" w:hAnsi="宋体" w:cs="宋体"/>
                <w:kern w:val="0"/>
                <w:sz w:val="24"/>
              </w:rPr>
            </w:pPr>
            <w:r w:rsidRPr="00916EB6">
              <w:rPr>
                <w:rFonts w:ascii="宋体" w:hAnsi="宋体" w:cs="宋体" w:hint="eastAsia"/>
                <w:kern w:val="0"/>
                <w:sz w:val="24"/>
              </w:rPr>
              <w:t>2017T029</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李建华</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生物医药</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r w:rsidRPr="0005122E">
              <w:t>PVDF</w:t>
            </w:r>
            <w:r w:rsidRPr="0005122E">
              <w:rPr>
                <w:rFonts w:hint="eastAsia"/>
              </w:rPr>
              <w:t>膜表面修饰</w:t>
            </w:r>
            <w:proofErr w:type="gramStart"/>
            <w:r w:rsidRPr="0005122E">
              <w:rPr>
                <w:rFonts w:hint="eastAsia"/>
              </w:rPr>
              <w:t>两性离子刷及性能</w:t>
            </w:r>
            <w:proofErr w:type="gramEnd"/>
            <w:r w:rsidRPr="0005122E">
              <w:rPr>
                <w:rFonts w:hint="eastAsia"/>
              </w:rPr>
              <w:t>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r>
              <w:rPr>
                <w:rFonts w:hint="eastAsia"/>
                <w:sz w:val="24"/>
              </w:rPr>
              <w:t>没有延期但未提交结题报告</w:t>
            </w: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916EB6" w:rsidRDefault="008D4078" w:rsidP="003A0749">
            <w:pPr>
              <w:widowControl/>
              <w:jc w:val="left"/>
              <w:rPr>
                <w:rFonts w:ascii="宋体" w:hAnsi="宋体" w:cs="宋体"/>
                <w:kern w:val="0"/>
                <w:sz w:val="24"/>
              </w:rPr>
            </w:pPr>
            <w:r w:rsidRPr="00916EB6">
              <w:rPr>
                <w:rFonts w:ascii="宋体" w:hAnsi="宋体" w:cs="宋体" w:hint="eastAsia"/>
                <w:kern w:val="0"/>
                <w:sz w:val="24"/>
              </w:rPr>
              <w:t>2017T030</w:t>
            </w:r>
          </w:p>
        </w:tc>
        <w:tc>
          <w:tcPr>
            <w:tcW w:w="957"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刘杰</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石油化工</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r w:rsidRPr="0005122E">
              <w:rPr>
                <w:rFonts w:hint="eastAsia"/>
              </w:rPr>
              <w:t>高稳定性铂</w:t>
            </w:r>
            <w:r w:rsidRPr="0005122E">
              <w:t>/</w:t>
            </w:r>
            <w:r w:rsidRPr="0005122E">
              <w:rPr>
                <w:rFonts w:hint="eastAsia"/>
              </w:rPr>
              <w:t>碳纳米管丙烷脱氢催化剂的研究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r>
              <w:rPr>
                <w:rFonts w:hint="eastAsia"/>
                <w:sz w:val="24"/>
              </w:rPr>
              <w:t>没有延期但未提交结题报告</w:t>
            </w:r>
          </w:p>
        </w:tc>
      </w:tr>
      <w:tr w:rsidR="008D4078" w:rsidRPr="0005122E" w:rsidTr="003A0749">
        <w:trPr>
          <w:trHeight w:val="660"/>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916EB6" w:rsidRDefault="008D4078" w:rsidP="003A0749">
            <w:pPr>
              <w:widowControl/>
              <w:jc w:val="left"/>
              <w:rPr>
                <w:rFonts w:ascii="宋体" w:hAnsi="宋体" w:cs="宋体"/>
                <w:kern w:val="0"/>
                <w:sz w:val="24"/>
              </w:rPr>
            </w:pPr>
            <w:r w:rsidRPr="00916EB6">
              <w:rPr>
                <w:rFonts w:ascii="宋体" w:hAnsi="宋体" w:cs="宋体" w:hint="eastAsia"/>
                <w:kern w:val="0"/>
                <w:sz w:val="24"/>
              </w:rPr>
              <w:t>2017T031</w:t>
            </w:r>
          </w:p>
        </w:tc>
        <w:tc>
          <w:tcPr>
            <w:tcW w:w="957" w:type="dxa"/>
            <w:tcBorders>
              <w:top w:val="nil"/>
              <w:left w:val="nil"/>
              <w:bottom w:val="single" w:sz="4" w:space="0" w:color="auto"/>
              <w:right w:val="single" w:sz="4" w:space="0" w:color="auto"/>
            </w:tcBorders>
            <w:noWrap/>
            <w:vAlign w:val="center"/>
            <w:hideMark/>
          </w:tcPr>
          <w:p w:rsidR="008D4078" w:rsidRPr="0005122E" w:rsidRDefault="008D4078" w:rsidP="003A0749">
            <w:pPr>
              <w:jc w:val="center"/>
              <w:rPr>
                <w:rFonts w:ascii="宋体" w:hAnsi="宋体" w:cs="宋体"/>
                <w:sz w:val="24"/>
              </w:rPr>
            </w:pPr>
            <w:r w:rsidRPr="0005122E">
              <w:rPr>
                <w:rFonts w:hint="eastAsia"/>
              </w:rPr>
              <w:t>赖焕生</w:t>
            </w:r>
          </w:p>
        </w:tc>
        <w:tc>
          <w:tcPr>
            <w:tcW w:w="1313"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石油化工</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基于</w:t>
            </w:r>
            <w:r w:rsidRPr="0005122E">
              <w:rPr>
                <w:rFonts w:hint="eastAsia"/>
              </w:rPr>
              <w:t>Ct</w:t>
            </w:r>
            <w:r w:rsidRPr="0005122E">
              <w:rPr>
                <w:rFonts w:hint="eastAsia"/>
              </w:rPr>
              <w:t>预测</w:t>
            </w:r>
            <w:proofErr w:type="gramStart"/>
            <w:r w:rsidRPr="0005122E">
              <w:rPr>
                <w:rFonts w:hint="eastAsia"/>
              </w:rPr>
              <w:t>焊接非</w:t>
            </w:r>
            <w:proofErr w:type="gramEnd"/>
            <w:r w:rsidRPr="0005122E">
              <w:rPr>
                <w:rFonts w:hint="eastAsia"/>
              </w:rPr>
              <w:t>界面蠕变裂纹扩展的研究</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r>
              <w:rPr>
                <w:rFonts w:hint="eastAsia"/>
                <w:sz w:val="24"/>
              </w:rPr>
              <w:t>没有延期但未提交结题报告</w:t>
            </w:r>
          </w:p>
        </w:tc>
      </w:tr>
      <w:tr w:rsidR="008D4078" w:rsidRPr="0005122E" w:rsidTr="003A0749">
        <w:trPr>
          <w:trHeight w:val="882"/>
          <w:jc w:val="center"/>
        </w:trPr>
        <w:tc>
          <w:tcPr>
            <w:tcW w:w="1176" w:type="dxa"/>
            <w:tcBorders>
              <w:top w:val="nil"/>
              <w:left w:val="single" w:sz="8" w:space="0" w:color="auto"/>
              <w:bottom w:val="single" w:sz="4" w:space="0" w:color="auto"/>
              <w:right w:val="single" w:sz="4" w:space="0" w:color="auto"/>
            </w:tcBorders>
            <w:noWrap/>
            <w:vAlign w:val="center"/>
            <w:hideMark/>
          </w:tcPr>
          <w:p w:rsidR="008D4078" w:rsidRPr="00916EB6" w:rsidRDefault="008D4078" w:rsidP="003A0749">
            <w:pPr>
              <w:widowControl/>
              <w:jc w:val="left"/>
              <w:rPr>
                <w:rFonts w:ascii="宋体" w:hAnsi="宋体" w:cs="宋体"/>
                <w:kern w:val="0"/>
                <w:sz w:val="24"/>
              </w:rPr>
            </w:pPr>
            <w:r w:rsidRPr="00916EB6">
              <w:rPr>
                <w:rFonts w:ascii="宋体" w:hAnsi="宋体" w:cs="宋体" w:hint="eastAsia"/>
                <w:kern w:val="0"/>
                <w:sz w:val="24"/>
              </w:rPr>
              <w:lastRenderedPageBreak/>
              <w:t>2017T032</w:t>
            </w:r>
          </w:p>
        </w:tc>
        <w:tc>
          <w:tcPr>
            <w:tcW w:w="957" w:type="dxa"/>
            <w:tcBorders>
              <w:top w:val="nil"/>
              <w:left w:val="nil"/>
              <w:bottom w:val="single" w:sz="4" w:space="0" w:color="auto"/>
              <w:right w:val="single" w:sz="4" w:space="0" w:color="auto"/>
            </w:tcBorders>
            <w:noWrap/>
            <w:vAlign w:val="center"/>
            <w:hideMark/>
          </w:tcPr>
          <w:p w:rsidR="008D4078" w:rsidRPr="0005122E" w:rsidRDefault="008D4078" w:rsidP="003A0749">
            <w:pPr>
              <w:jc w:val="center"/>
              <w:rPr>
                <w:rFonts w:ascii="宋体" w:hAnsi="宋体" w:cs="宋体"/>
                <w:sz w:val="24"/>
              </w:rPr>
            </w:pPr>
            <w:r w:rsidRPr="0005122E">
              <w:rPr>
                <w:rFonts w:hint="eastAsia"/>
              </w:rPr>
              <w:t>张经伟</w:t>
            </w:r>
          </w:p>
        </w:tc>
        <w:tc>
          <w:tcPr>
            <w:tcW w:w="1313" w:type="dxa"/>
            <w:tcBorders>
              <w:top w:val="nil"/>
              <w:left w:val="nil"/>
              <w:bottom w:val="single" w:sz="4" w:space="0" w:color="auto"/>
              <w:right w:val="single" w:sz="4" w:space="0" w:color="auto"/>
            </w:tcBorders>
            <w:noWrap/>
            <w:vAlign w:val="center"/>
            <w:hideMark/>
          </w:tcPr>
          <w:p w:rsidR="008D4078" w:rsidRPr="0005122E" w:rsidRDefault="008D4078" w:rsidP="003A0749">
            <w:pPr>
              <w:jc w:val="center"/>
              <w:rPr>
                <w:rFonts w:ascii="宋体" w:hAnsi="宋体" w:cs="宋体"/>
                <w:sz w:val="24"/>
              </w:rPr>
            </w:pPr>
            <w:r w:rsidRPr="0005122E">
              <w:rPr>
                <w:rFonts w:hint="eastAsia"/>
              </w:rPr>
              <w:t>石油化工</w:t>
            </w:r>
          </w:p>
        </w:tc>
        <w:tc>
          <w:tcPr>
            <w:tcW w:w="2938" w:type="dxa"/>
            <w:tcBorders>
              <w:top w:val="nil"/>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石化装备长时低应力寿命数值预测</w:t>
            </w:r>
          </w:p>
        </w:tc>
        <w:tc>
          <w:tcPr>
            <w:tcW w:w="2235" w:type="dxa"/>
            <w:tcBorders>
              <w:top w:val="nil"/>
              <w:left w:val="nil"/>
              <w:bottom w:val="single" w:sz="4" w:space="0" w:color="auto"/>
              <w:right w:val="single" w:sz="4" w:space="0" w:color="auto"/>
            </w:tcBorders>
            <w:vAlign w:val="center"/>
            <w:hideMark/>
          </w:tcPr>
          <w:p w:rsidR="008D4078" w:rsidRPr="0005122E" w:rsidRDefault="008D4078" w:rsidP="003A0749">
            <w:pPr>
              <w:jc w:val="center"/>
              <w:rPr>
                <w:sz w:val="24"/>
              </w:rPr>
            </w:pPr>
            <w:r>
              <w:rPr>
                <w:rFonts w:hint="eastAsia"/>
                <w:sz w:val="24"/>
              </w:rPr>
              <w:t>没有延期但未提交结题报告</w:t>
            </w:r>
          </w:p>
        </w:tc>
      </w:tr>
      <w:tr w:rsidR="008D4078" w:rsidRPr="0005122E" w:rsidTr="003A0749">
        <w:trPr>
          <w:trHeight w:val="660"/>
          <w:jc w:val="center"/>
        </w:trPr>
        <w:tc>
          <w:tcPr>
            <w:tcW w:w="1176" w:type="dxa"/>
            <w:tcBorders>
              <w:top w:val="single" w:sz="4" w:space="0" w:color="auto"/>
              <w:left w:val="single" w:sz="4" w:space="0" w:color="auto"/>
              <w:bottom w:val="single" w:sz="4" w:space="0" w:color="auto"/>
              <w:right w:val="single" w:sz="4" w:space="0" w:color="auto"/>
            </w:tcBorders>
            <w:noWrap/>
            <w:vAlign w:val="center"/>
            <w:hideMark/>
          </w:tcPr>
          <w:p w:rsidR="008D4078" w:rsidRPr="00916EB6" w:rsidRDefault="008D4078" w:rsidP="003A0749">
            <w:pPr>
              <w:widowControl/>
              <w:jc w:val="left"/>
              <w:rPr>
                <w:rFonts w:ascii="宋体" w:hAnsi="宋体" w:cs="宋体"/>
                <w:kern w:val="0"/>
                <w:sz w:val="24"/>
              </w:rPr>
            </w:pPr>
            <w:r w:rsidRPr="00916EB6">
              <w:rPr>
                <w:rFonts w:ascii="宋体" w:hAnsi="宋体" w:cs="宋体" w:hint="eastAsia"/>
                <w:kern w:val="0"/>
                <w:sz w:val="24"/>
              </w:rPr>
              <w:t>2017T034</w:t>
            </w:r>
          </w:p>
        </w:tc>
        <w:tc>
          <w:tcPr>
            <w:tcW w:w="957" w:type="dxa"/>
            <w:tcBorders>
              <w:top w:val="single" w:sz="4" w:space="0" w:color="auto"/>
              <w:left w:val="nil"/>
              <w:bottom w:val="single" w:sz="4" w:space="0" w:color="auto"/>
              <w:right w:val="single" w:sz="4" w:space="0" w:color="auto"/>
            </w:tcBorders>
            <w:noWrap/>
            <w:vAlign w:val="center"/>
            <w:hideMark/>
          </w:tcPr>
          <w:p w:rsidR="008D4078" w:rsidRPr="0005122E" w:rsidRDefault="008D4078" w:rsidP="003A0749">
            <w:pPr>
              <w:jc w:val="center"/>
              <w:rPr>
                <w:rFonts w:ascii="宋体" w:hAnsi="宋体" w:cs="宋体"/>
                <w:sz w:val="24"/>
              </w:rPr>
            </w:pPr>
            <w:r w:rsidRPr="0005122E">
              <w:rPr>
                <w:rFonts w:hint="eastAsia"/>
              </w:rPr>
              <w:t>钱兴</w:t>
            </w:r>
          </w:p>
        </w:tc>
        <w:tc>
          <w:tcPr>
            <w:tcW w:w="1313" w:type="dxa"/>
            <w:tcBorders>
              <w:top w:val="single" w:sz="4" w:space="0" w:color="auto"/>
              <w:left w:val="nil"/>
              <w:bottom w:val="single" w:sz="4" w:space="0" w:color="auto"/>
              <w:right w:val="single" w:sz="4" w:space="0" w:color="auto"/>
            </w:tcBorders>
            <w:noWrap/>
            <w:vAlign w:val="center"/>
            <w:hideMark/>
          </w:tcPr>
          <w:p w:rsidR="008D4078" w:rsidRPr="0005122E" w:rsidRDefault="008D4078" w:rsidP="003A0749">
            <w:pPr>
              <w:jc w:val="center"/>
              <w:rPr>
                <w:rFonts w:ascii="宋体" w:hAnsi="宋体" w:cs="宋体"/>
                <w:sz w:val="24"/>
              </w:rPr>
            </w:pPr>
            <w:r w:rsidRPr="0005122E">
              <w:rPr>
                <w:rFonts w:hint="eastAsia"/>
              </w:rPr>
              <w:t>石油化工</w:t>
            </w:r>
          </w:p>
        </w:tc>
        <w:tc>
          <w:tcPr>
            <w:tcW w:w="2938" w:type="dxa"/>
            <w:tcBorders>
              <w:top w:val="single" w:sz="4" w:space="0" w:color="auto"/>
              <w:left w:val="nil"/>
              <w:bottom w:val="single" w:sz="4" w:space="0" w:color="auto"/>
              <w:right w:val="single" w:sz="4" w:space="0" w:color="auto"/>
            </w:tcBorders>
            <w:vAlign w:val="center"/>
            <w:hideMark/>
          </w:tcPr>
          <w:p w:rsidR="008D4078" w:rsidRPr="0005122E" w:rsidRDefault="008D4078" w:rsidP="003A0749">
            <w:pPr>
              <w:jc w:val="center"/>
              <w:rPr>
                <w:rFonts w:ascii="宋体" w:hAnsi="宋体" w:cs="宋体"/>
                <w:sz w:val="24"/>
              </w:rPr>
            </w:pPr>
            <w:r w:rsidRPr="0005122E">
              <w:rPr>
                <w:rFonts w:hint="eastAsia"/>
              </w:rPr>
              <w:t>新型复合导电高分子电催化剂的合成及应用</w:t>
            </w:r>
          </w:p>
        </w:tc>
        <w:tc>
          <w:tcPr>
            <w:tcW w:w="2235" w:type="dxa"/>
            <w:tcBorders>
              <w:top w:val="single" w:sz="4" w:space="0" w:color="auto"/>
              <w:left w:val="nil"/>
              <w:bottom w:val="single" w:sz="4" w:space="0" w:color="auto"/>
              <w:right w:val="single" w:sz="4" w:space="0" w:color="auto"/>
            </w:tcBorders>
            <w:vAlign w:val="center"/>
            <w:hideMark/>
          </w:tcPr>
          <w:p w:rsidR="008D4078" w:rsidRPr="0005122E" w:rsidRDefault="008D4078" w:rsidP="003A0749">
            <w:pPr>
              <w:jc w:val="center"/>
              <w:rPr>
                <w:sz w:val="24"/>
              </w:rPr>
            </w:pPr>
            <w:r>
              <w:rPr>
                <w:rFonts w:hint="eastAsia"/>
                <w:sz w:val="24"/>
              </w:rPr>
              <w:t>没有延期但未提交结题报告</w:t>
            </w:r>
          </w:p>
        </w:tc>
      </w:tr>
    </w:tbl>
    <w:p w:rsidR="00BC78AA" w:rsidRPr="008D4078" w:rsidRDefault="008D4078"/>
    <w:sectPr w:rsidR="00BC78AA" w:rsidRPr="008D4078" w:rsidSect="00DF38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4078"/>
    <w:rsid w:val="002C2341"/>
    <w:rsid w:val="003F796F"/>
    <w:rsid w:val="005279FA"/>
    <w:rsid w:val="00601D4F"/>
    <w:rsid w:val="008D4078"/>
    <w:rsid w:val="009A2F73"/>
    <w:rsid w:val="00DF38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0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1392</Characters>
  <Application>Microsoft Office Word</Application>
  <DocSecurity>0</DocSecurity>
  <Lines>11</Lines>
  <Paragraphs>3</Paragraphs>
  <ScaleCrop>false</ScaleCrop>
  <Company>Microsoft</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2018-07-03T00:32:00Z</dcterms:created>
  <dcterms:modified xsi:type="dcterms:W3CDTF">2018-07-03T00:32:00Z</dcterms:modified>
</cp:coreProperties>
</file>