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290F">
      <w:pPr>
        <w:spacing w:line="600" w:lineRule="exact"/>
        <w:jc w:val="right"/>
        <w:outlineLvl w:val="0"/>
        <w:rPr>
          <w:rFonts w:ascii="宋体" w:hAnsi="宋体" w:hint="eastAsia"/>
          <w:color w:val="000000"/>
          <w:sz w:val="24"/>
        </w:rPr>
      </w:pPr>
      <w:bookmarkStart w:id="0" w:name="dispatch_subject"/>
      <w:r>
        <w:rPr>
          <w:rFonts w:ascii="仿宋_GB2312" w:hAnsi="宋体"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ubjectText" o:spid="_x0000_s1099" type="#_x0000_t202" style="position:absolute;left:0;text-align:left;margin-left:-18pt;margin-top:81.5pt;width:495pt;height:46.8pt;z-index:2;mso-position-vertical-relative:page" filled="f" stroked="f" strokecolor="red">
            <v:textbox inset="0,0,0,0">
              <w:txbxContent>
                <w:p w:rsidR="00000000" w:rsidRDefault="000D290F">
                  <w:pPr>
                    <w:ind w:right="640"/>
                    <w:jc w:val="center"/>
                    <w:rPr>
                      <w:rFonts w:ascii="方正小标宋简体" w:eastAsia="方正小标宋简体" w:hAnsi="华文中宋" w:hint="eastAsia"/>
                      <w:color w:val="FF0000"/>
                      <w:spacing w:val="40"/>
                      <w:sz w:val="44"/>
                      <w:szCs w:val="44"/>
                    </w:rPr>
                  </w:pPr>
                  <w:r>
                    <w:rPr>
                      <w:rFonts w:ascii="方正小标宋简体" w:eastAsia="方正小标宋简体" w:hAnsi="宋体" w:hint="eastAsia"/>
                      <w:color w:val="FF0000"/>
                      <w:spacing w:val="20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方正小标宋简体" w:eastAsia="方正小标宋简体" w:hAnsi="宋体" w:hint="eastAsia"/>
                      <w:color w:val="FF0000"/>
                      <w:spacing w:val="40"/>
                      <w:sz w:val="72"/>
                      <w:szCs w:val="72"/>
                    </w:rPr>
                    <w:t>福建省发展和改革委员会</w:t>
                  </w:r>
                </w:p>
                <w:p w:rsidR="00000000" w:rsidRDefault="000D290F">
                  <w:pPr>
                    <w:jc w:val="center"/>
                    <w:rPr>
                      <w:rFonts w:ascii="华文中宋" w:eastAsia="华文中宋" w:hAnsi="华文中宋" w:hint="eastAsia"/>
                      <w:b/>
                      <w:color w:val="FF0000"/>
                      <w:spacing w:val="20"/>
                      <w:sz w:val="44"/>
                      <w:szCs w:val="44"/>
                    </w:rPr>
                  </w:pPr>
                </w:p>
                <w:p w:rsidR="00000000" w:rsidRDefault="000D290F">
                  <w:pPr>
                    <w:rPr>
                      <w:rFonts w:hint="eastAsia"/>
                      <w:szCs w:val="60"/>
                    </w:rPr>
                  </w:pPr>
                </w:p>
              </w:txbxContent>
            </v:textbox>
            <w10:wrap anchory="page"/>
          </v:shape>
        </w:pict>
      </w:r>
      <w:r>
        <w:rPr>
          <w:rFonts w:ascii="宋体" w:hAnsi="宋体" w:hint="eastAsia"/>
          <w:color w:val="000000"/>
          <w:sz w:val="24"/>
        </w:rPr>
        <w:t xml:space="preserve">                                </w:t>
      </w:r>
    </w:p>
    <w:p w:rsidR="00000000" w:rsidRDefault="000D290F">
      <w:pPr>
        <w:spacing w:line="360" w:lineRule="exact"/>
        <w:jc w:val="right"/>
        <w:outlineLvl w:val="0"/>
        <w:rPr>
          <w:rFonts w:ascii="宋体" w:hAnsi="宋体" w:hint="eastAsia"/>
          <w:color w:val="000000"/>
          <w:sz w:val="24"/>
        </w:rPr>
      </w:pPr>
      <w:r>
        <w:rPr>
          <w:rFonts w:ascii="仿宋_GB2312"/>
          <w:bCs/>
          <w:color w:val="FF0000"/>
          <w:sz w:val="20"/>
        </w:rPr>
        <w:pict>
          <v:line id="DocMarkLine" o:spid="_x0000_s1100" style="position:absolute;left:0;text-align:left;z-index:1" from="-14.2pt,8.25pt" to="462pt,8.25pt" strokecolor="red" strokeweight="4.5pt">
            <v:stroke linestyle="thickThin"/>
          </v:line>
        </w:pict>
      </w:r>
    </w:p>
    <w:p w:rsidR="00000000" w:rsidRDefault="000D290F">
      <w:pPr>
        <w:spacing w:line="580" w:lineRule="exact"/>
        <w:ind w:right="24"/>
        <w:jc w:val="right"/>
        <w:rPr>
          <w:rFonts w:ascii="仿宋_GB2312" w:hAnsi="宋体" w:hint="eastAsia"/>
          <w:color w:val="000000"/>
          <w:szCs w:val="32"/>
        </w:rPr>
      </w:pPr>
      <w:r>
        <w:rPr>
          <w:rStyle w:val="style6"/>
          <w:rFonts w:hint="eastAsia"/>
        </w:rPr>
        <w:t xml:space="preserve">                           </w:t>
      </w:r>
      <w:r>
        <w:rPr>
          <w:rStyle w:val="style6"/>
          <w:rFonts w:ascii="仿宋_GB2312" w:hAnsi="仿宋_GB2312" w:cs="仿宋_GB2312" w:hint="eastAsia"/>
          <w:szCs w:val="32"/>
        </w:rPr>
        <w:t>闽发改</w:t>
      </w:r>
      <w:r>
        <w:rPr>
          <w:rStyle w:val="style6"/>
          <w:rFonts w:ascii="仿宋_GB2312" w:hAnsi="仿宋_GB2312" w:cs="仿宋_GB2312" w:hint="eastAsia"/>
          <w:szCs w:val="32"/>
        </w:rPr>
        <w:t>办综</w:t>
      </w:r>
      <w:r>
        <w:rPr>
          <w:rStyle w:val="style6"/>
          <w:rFonts w:ascii="仿宋_GB2312" w:hAnsi="仿宋_GB2312" w:cs="仿宋_GB2312" w:hint="eastAsia"/>
          <w:szCs w:val="32"/>
        </w:rPr>
        <w:t>〔</w:t>
      </w:r>
      <w:r>
        <w:rPr>
          <w:rStyle w:val="style6"/>
          <w:rFonts w:ascii="仿宋_GB2312" w:hAnsi="仿宋_GB2312" w:cs="仿宋_GB2312" w:hint="eastAsia"/>
          <w:szCs w:val="32"/>
        </w:rPr>
        <w:t>201</w:t>
      </w:r>
      <w:r>
        <w:rPr>
          <w:rStyle w:val="style6"/>
          <w:rFonts w:ascii="仿宋_GB2312" w:hAnsi="仿宋_GB2312" w:cs="仿宋_GB2312" w:hint="eastAsia"/>
          <w:szCs w:val="32"/>
        </w:rPr>
        <w:t>8</w:t>
      </w:r>
      <w:r>
        <w:rPr>
          <w:rStyle w:val="style6"/>
          <w:rFonts w:ascii="仿宋_GB2312" w:hAnsi="仿宋_GB2312" w:cs="仿宋_GB2312" w:hint="eastAsia"/>
          <w:szCs w:val="32"/>
        </w:rPr>
        <w:t>〕</w:t>
      </w:r>
      <w:r>
        <w:rPr>
          <w:rStyle w:val="style6"/>
          <w:rFonts w:ascii="仿宋_GB2312" w:hAnsi="仿宋_GB2312" w:cs="仿宋_GB2312" w:hint="eastAsia"/>
          <w:szCs w:val="32"/>
        </w:rPr>
        <w:t>69</w:t>
      </w:r>
      <w:r>
        <w:rPr>
          <w:rStyle w:val="style6"/>
          <w:rFonts w:ascii="仿宋_GB2312" w:hAnsi="仿宋_GB2312" w:cs="仿宋_GB2312" w:hint="eastAsia"/>
          <w:szCs w:val="32"/>
        </w:rPr>
        <w:t>号</w:t>
      </w:r>
    </w:p>
    <w:p w:rsidR="00000000" w:rsidRDefault="000D290F">
      <w:pPr>
        <w:spacing w:line="580" w:lineRule="exact"/>
        <w:jc w:val="center"/>
        <w:outlineLvl w:val="0"/>
        <w:rPr>
          <w:rFonts w:ascii="方正小标宋简体" w:eastAsia="方正小标宋简体" w:hint="eastAsia"/>
          <w:bCs/>
          <w:sz w:val="44"/>
          <w:szCs w:val="44"/>
        </w:rPr>
      </w:pPr>
    </w:p>
    <w:p w:rsidR="00000000" w:rsidRDefault="000D290F">
      <w:pPr>
        <w:spacing w:line="580" w:lineRule="exact"/>
        <w:jc w:val="center"/>
        <w:outlineLvl w:val="0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福建省发展和改革委员会关于征集</w:t>
      </w:r>
    </w:p>
    <w:p w:rsidR="00000000" w:rsidRDefault="000D290F">
      <w:pPr>
        <w:spacing w:line="580" w:lineRule="exact"/>
        <w:jc w:val="center"/>
        <w:outlineLvl w:val="0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科技成果转移转化重点推介项目的通知</w:t>
      </w:r>
      <w:bookmarkEnd w:id="0"/>
    </w:p>
    <w:p w:rsidR="00000000" w:rsidRDefault="000D290F">
      <w:pPr>
        <w:tabs>
          <w:tab w:val="left" w:pos="5120"/>
        </w:tabs>
        <w:spacing w:line="580" w:lineRule="exact"/>
        <w:rPr>
          <w:rFonts w:ascii="仿宋_GB2312" w:hint="eastAsia"/>
        </w:rPr>
      </w:pPr>
    </w:p>
    <w:p w:rsidR="00000000" w:rsidRDefault="000D290F">
      <w:pPr>
        <w:spacing w:line="580" w:lineRule="exact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省内各有关高校、科研院所：</w:t>
      </w:r>
    </w:p>
    <w:p w:rsidR="00000000" w:rsidRDefault="000D290F">
      <w:pPr>
        <w:pStyle w:val="2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b w:val="0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为发挥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6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·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18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平台在推动我省高质量发展落实赶超战略中的创新支撑作用，省发改委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6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·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18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组委会办公室根据《福建省推动新开放领域重点产业精准招商工作指导意见》精神，拟面向高校、科研院所征集一批核心科技成果建立项目库予以重点推介转移转化，</w:t>
      </w:r>
      <w:r>
        <w:rPr>
          <w:rFonts w:ascii="仿宋_GB2312" w:eastAsia="仿宋_GB2312" w:hAnsi="仿宋_GB2312" w:cs="仿宋_GB2312"/>
          <w:b w:val="0"/>
          <w:bCs/>
          <w:kern w:val="2"/>
          <w:sz w:val="32"/>
          <w:szCs w:val="32"/>
        </w:rPr>
        <w:t>有关事项通知如下：</w:t>
      </w:r>
    </w:p>
    <w:p w:rsidR="00000000" w:rsidRDefault="000D290F">
      <w:pPr>
        <w:pStyle w:val="a8"/>
        <w:spacing w:before="0" w:beforeAutospacing="0" w:after="0" w:afterAutospacing="0" w:line="580" w:lineRule="exact"/>
        <w:ind w:firstLineChars="200" w:firstLine="640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一、征</w:t>
      </w:r>
      <w:r>
        <w:rPr>
          <w:rFonts w:ascii="黑体" w:eastAsia="黑体" w:hAnsi="黑体" w:cs="黑体" w:hint="eastAsia"/>
          <w:kern w:val="2"/>
          <w:sz w:val="32"/>
          <w:szCs w:val="32"/>
        </w:rPr>
        <w:t>集领域</w:t>
      </w:r>
    </w:p>
    <w:p w:rsidR="00000000" w:rsidRDefault="000D290F" w:rsidP="006A6A4F">
      <w:pPr>
        <w:pStyle w:val="a8"/>
        <w:spacing w:before="0" w:beforeAutospacing="0" w:after="0" w:afterAutospacing="0" w:line="580" w:lineRule="exact"/>
        <w:ind w:firstLineChars="200" w:firstLine="640"/>
        <w:jc w:val="both"/>
        <w:rPr>
          <w:rFonts w:ascii="仿宋_GB2312" w:hAnsi="仿宋_GB2312" w:cs="仿宋_GB2312" w:hint="eastAsia"/>
          <w:color w:val="030303"/>
          <w:sz w:val="32"/>
          <w:szCs w:val="32"/>
        </w:rPr>
      </w:pPr>
      <w:r>
        <w:rPr>
          <w:rStyle w:val="a5"/>
          <w:rFonts w:ascii="楷体_GB2312" w:eastAsia="楷体_GB2312" w:hAnsi="楷体_GB2312" w:cs="楷体_GB2312" w:hint="eastAsia"/>
          <w:color w:val="030303"/>
          <w:sz w:val="32"/>
          <w:szCs w:val="32"/>
        </w:rPr>
        <w:t>（一）</w:t>
      </w:r>
      <w:r>
        <w:rPr>
          <w:rStyle w:val="a5"/>
          <w:rFonts w:ascii="楷体_GB2312" w:eastAsia="楷体_GB2312" w:hAnsi="楷体_GB2312" w:cs="楷体_GB2312" w:hint="eastAsia"/>
          <w:color w:val="030303"/>
          <w:sz w:val="32"/>
          <w:szCs w:val="32"/>
        </w:rPr>
        <w:t>汽车产业</w:t>
      </w:r>
      <w:r>
        <w:rPr>
          <w:rStyle w:val="a5"/>
          <w:rFonts w:ascii="楷体_GB2312" w:eastAsia="楷体_GB2312" w:hAnsi="楷体_GB2312" w:cs="楷体_GB2312" w:hint="eastAsia"/>
          <w:color w:val="030303"/>
          <w:sz w:val="32"/>
          <w:szCs w:val="32"/>
        </w:rPr>
        <w:t>：</w:t>
      </w:r>
      <w:r>
        <w:rPr>
          <w:rFonts w:ascii="仿宋_GB2312" w:hAnsi="仿宋_GB2312" w:cs="仿宋_GB2312" w:hint="eastAsia"/>
          <w:color w:val="030303"/>
          <w:sz w:val="32"/>
          <w:szCs w:val="32"/>
        </w:rPr>
        <w:t>整车集成技术、电驱动系统技术、能量存储技术、高压电气系统技术、动力电池关键材料、车身轻量化技术等关键共性技术。</w:t>
      </w:r>
    </w:p>
    <w:p w:rsidR="00000000" w:rsidRDefault="000D290F" w:rsidP="006A6A4F">
      <w:pPr>
        <w:pStyle w:val="a8"/>
        <w:spacing w:before="0" w:beforeAutospacing="0" w:after="0" w:afterAutospacing="0" w:line="580" w:lineRule="exact"/>
        <w:ind w:firstLineChars="200" w:firstLine="640"/>
        <w:jc w:val="both"/>
        <w:rPr>
          <w:rFonts w:ascii="仿宋_GB2312" w:hAnsi="仿宋_GB2312" w:cs="仿宋_GB2312" w:hint="eastAsia"/>
          <w:color w:val="030303"/>
          <w:sz w:val="32"/>
          <w:szCs w:val="32"/>
        </w:rPr>
      </w:pPr>
      <w:r>
        <w:rPr>
          <w:rStyle w:val="a5"/>
          <w:rFonts w:ascii="楷体_GB2312" w:eastAsia="楷体_GB2312" w:hAnsi="楷体_GB2312" w:cs="楷体_GB2312" w:hint="eastAsia"/>
          <w:color w:val="030303"/>
          <w:sz w:val="32"/>
          <w:szCs w:val="32"/>
        </w:rPr>
        <w:t>（二）船舶产业：</w:t>
      </w:r>
      <w:r>
        <w:rPr>
          <w:rFonts w:ascii="仿宋_GB2312" w:hAnsi="仿宋_GB2312" w:cs="仿宋_GB2312" w:hint="eastAsia"/>
          <w:color w:val="030303"/>
          <w:sz w:val="32"/>
          <w:szCs w:val="32"/>
        </w:rPr>
        <w:t>船型优化节能技术、船舶推进装置设计技术、减振降噪与舒适性技术、船舶智能设计制造技术、深远海信息传输技术、水下安装技术、海洋浮式结构物安全与可靠性技术、海洋工程装备海上试验技术等关键技术。</w:t>
      </w:r>
    </w:p>
    <w:p w:rsidR="00000000" w:rsidRDefault="000D290F">
      <w:pPr>
        <w:pStyle w:val="a8"/>
        <w:spacing w:before="0" w:beforeAutospacing="0" w:after="0" w:afterAutospacing="0" w:line="580" w:lineRule="exact"/>
        <w:ind w:firstLineChars="250" w:firstLine="600"/>
        <w:jc w:val="both"/>
        <w:rPr>
          <w:rFonts w:ascii="仿宋_GB2312" w:hAnsi="仿宋_GB2312" w:cs="仿宋_GB2312" w:hint="eastAsia"/>
          <w:color w:val="030303"/>
          <w:sz w:val="32"/>
          <w:szCs w:val="32"/>
        </w:rPr>
        <w:sectPr w:rsidR="00000000">
          <w:footerReference w:type="even" r:id="rId7"/>
          <w:pgSz w:w="11906" w:h="16838"/>
          <w:pgMar w:top="2098" w:right="1474" w:bottom="1984" w:left="1587" w:header="851" w:footer="1134" w:gutter="0"/>
          <w:cols w:space="720"/>
          <w:docGrid w:type="lines" w:linePitch="439"/>
        </w:sectPr>
      </w:pPr>
      <w:r>
        <w:rPr>
          <w:rFonts w:ascii="仿宋_GB2312" w:hint="eastAsia"/>
        </w:rPr>
        <w:pict>
          <v:line id="_x0000_s1101" style="position:absolute;left:0;text-align:left;z-index:3" from="-17.95pt,67.35pt" to="458.25pt,67.35pt" strokecolor="red" strokeweight="4.5pt">
            <v:stroke linestyle="thinThick"/>
          </v:line>
        </w:pict>
      </w:r>
      <w:r>
        <w:rPr>
          <w:rStyle w:val="a5"/>
          <w:rFonts w:ascii="楷体_GB2312" w:eastAsia="楷体_GB2312" w:hAnsi="楷体_GB2312" w:cs="楷体_GB2312" w:hint="eastAsia"/>
          <w:color w:val="030303"/>
          <w:sz w:val="32"/>
          <w:szCs w:val="32"/>
        </w:rPr>
        <w:t>（三）稀土产业：</w:t>
      </w:r>
      <w:r>
        <w:rPr>
          <w:rFonts w:ascii="仿宋_GB2312" w:hAnsi="仿宋_GB2312" w:cs="仿宋_GB2312" w:hint="eastAsia"/>
          <w:color w:val="030303"/>
          <w:sz w:val="32"/>
          <w:szCs w:val="32"/>
        </w:rPr>
        <w:t>废弃三基色荧光粉中重中稀土和磁材废料</w:t>
      </w:r>
    </w:p>
    <w:p w:rsidR="00000000" w:rsidRDefault="000D290F">
      <w:pPr>
        <w:pStyle w:val="a8"/>
        <w:spacing w:before="0" w:beforeAutospacing="0" w:after="0" w:afterAutospacing="0" w:line="570" w:lineRule="exact"/>
        <w:jc w:val="both"/>
        <w:rPr>
          <w:rFonts w:ascii="仿宋_GB2312" w:hAnsi="仿宋_GB2312" w:cs="仿宋_GB2312" w:hint="eastAsia"/>
          <w:color w:val="030303"/>
          <w:sz w:val="32"/>
          <w:szCs w:val="32"/>
        </w:rPr>
      </w:pPr>
      <w:r>
        <w:rPr>
          <w:rFonts w:ascii="仿宋_GB2312" w:hAnsi="仿宋_GB2312" w:cs="仿宋_GB2312" w:hint="eastAsia"/>
          <w:color w:val="030303"/>
          <w:sz w:val="32"/>
          <w:szCs w:val="32"/>
        </w:rPr>
        <w:lastRenderedPageBreak/>
        <w:t>回收技术，稀土磁性材料异形件一次成型工艺技术，低自放电、高容量</w:t>
      </w:r>
      <w:r>
        <w:rPr>
          <w:rFonts w:ascii="仿宋_GB2312" w:hAnsi="仿宋_GB2312" w:cs="仿宋_GB2312" w:hint="eastAsia"/>
          <w:color w:val="030303"/>
          <w:sz w:val="32"/>
          <w:szCs w:val="32"/>
        </w:rPr>
        <w:t>AB3</w:t>
      </w:r>
      <w:r>
        <w:rPr>
          <w:rFonts w:ascii="仿宋_GB2312" w:hAnsi="仿宋_GB2312" w:cs="仿宋_GB2312" w:hint="eastAsia"/>
          <w:color w:val="030303"/>
          <w:sz w:val="32"/>
          <w:szCs w:val="32"/>
        </w:rPr>
        <w:t>型镁基储氢合粉及镍氢电池配套材料器件相关技术，偏</w:t>
      </w:r>
      <w:r>
        <w:rPr>
          <w:rFonts w:ascii="仿宋_GB2312" w:hAnsi="仿宋_GB2312" w:cs="仿宋_GB2312" w:hint="eastAsia"/>
          <w:color w:val="030303"/>
          <w:sz w:val="32"/>
          <w:szCs w:val="32"/>
        </w:rPr>
        <w:t>重荧光灯用稀土三基色荧光粉、</w:t>
      </w:r>
      <w:r>
        <w:rPr>
          <w:rFonts w:ascii="仿宋_GB2312" w:hAnsi="仿宋_GB2312" w:cs="仿宋_GB2312" w:hint="eastAsia"/>
          <w:color w:val="030303"/>
          <w:sz w:val="32"/>
          <w:szCs w:val="32"/>
        </w:rPr>
        <w:t>LED</w:t>
      </w:r>
      <w:r>
        <w:rPr>
          <w:rFonts w:ascii="仿宋_GB2312" w:hAnsi="仿宋_GB2312" w:cs="仿宋_GB2312" w:hint="eastAsia"/>
          <w:color w:val="030303"/>
          <w:sz w:val="32"/>
          <w:szCs w:val="32"/>
        </w:rPr>
        <w:t>荧光粉、功能（荧光）稀土纳米材料等关键技术。</w:t>
      </w:r>
    </w:p>
    <w:p w:rsidR="00000000" w:rsidRDefault="000D290F" w:rsidP="006A6A4F">
      <w:pPr>
        <w:pStyle w:val="a8"/>
        <w:spacing w:before="0" w:beforeAutospacing="0" w:after="0" w:afterAutospacing="0" w:line="570" w:lineRule="exact"/>
        <w:ind w:firstLineChars="200" w:firstLine="640"/>
        <w:jc w:val="both"/>
        <w:rPr>
          <w:rFonts w:ascii="仿宋_GB2312" w:hAnsi="仿宋_GB2312" w:cs="仿宋_GB2312" w:hint="eastAsia"/>
          <w:color w:val="030303"/>
          <w:sz w:val="32"/>
          <w:szCs w:val="32"/>
        </w:rPr>
      </w:pPr>
      <w:r>
        <w:rPr>
          <w:rStyle w:val="a5"/>
          <w:rFonts w:ascii="楷体_GB2312" w:eastAsia="楷体_GB2312" w:hAnsi="楷体_GB2312" w:cs="楷体_GB2312" w:hint="eastAsia"/>
          <w:color w:val="030303"/>
          <w:sz w:val="32"/>
          <w:szCs w:val="32"/>
        </w:rPr>
        <w:t>（四）石墨烯产业：</w:t>
      </w:r>
      <w:r>
        <w:rPr>
          <w:rFonts w:ascii="仿宋_GB2312" w:hAnsi="仿宋_GB2312" w:cs="仿宋_GB2312" w:hint="eastAsia"/>
          <w:color w:val="030303"/>
          <w:sz w:val="32"/>
          <w:szCs w:val="32"/>
        </w:rPr>
        <w:t>超薄石墨烯导热膜的低成本、连续成卷生产技术，石墨烯分散技术、表面修饰技术，以及石墨烯功能材料的产业化应用技术。</w:t>
      </w:r>
    </w:p>
    <w:p w:rsidR="00000000" w:rsidRDefault="000D290F" w:rsidP="006A6A4F">
      <w:pPr>
        <w:pStyle w:val="a8"/>
        <w:spacing w:before="0" w:beforeAutospacing="0" w:after="0" w:afterAutospacing="0" w:line="570" w:lineRule="exact"/>
        <w:ind w:firstLineChars="200" w:firstLine="640"/>
        <w:jc w:val="both"/>
        <w:rPr>
          <w:rFonts w:ascii="仿宋_GB2312" w:hAnsi="仿宋_GB2312" w:cs="仿宋_GB2312" w:hint="eastAsia"/>
          <w:color w:val="030303"/>
          <w:sz w:val="32"/>
          <w:szCs w:val="32"/>
        </w:rPr>
      </w:pPr>
      <w:r>
        <w:rPr>
          <w:rStyle w:val="a5"/>
          <w:rFonts w:ascii="楷体_GB2312" w:eastAsia="楷体_GB2312" w:hAnsi="楷体_GB2312" w:cs="楷体_GB2312" w:hint="eastAsia"/>
          <w:color w:val="030303"/>
          <w:sz w:val="32"/>
          <w:szCs w:val="32"/>
        </w:rPr>
        <w:t>（五）航空装备产业：</w:t>
      </w:r>
      <w:r>
        <w:rPr>
          <w:rFonts w:ascii="仿宋_GB2312" w:hAnsi="仿宋_GB2312" w:cs="仿宋_GB2312" w:hint="eastAsia"/>
          <w:color w:val="030303"/>
          <w:sz w:val="32"/>
          <w:szCs w:val="32"/>
        </w:rPr>
        <w:t>多用途通用飞机、喷气式轻型商务机、公务机、水陆两栖飞机、民用直升机、无人驾驶航空器、特种飞行器等，以及大型商用涡扇发动机、新型涡轴发动机等民用航空关键零部件等。</w:t>
      </w:r>
    </w:p>
    <w:p w:rsidR="00000000" w:rsidRDefault="000D290F" w:rsidP="006A6A4F">
      <w:pPr>
        <w:pStyle w:val="a8"/>
        <w:spacing w:before="0" w:beforeAutospacing="0" w:after="0" w:afterAutospacing="0" w:line="570" w:lineRule="exact"/>
        <w:ind w:firstLineChars="200" w:firstLine="640"/>
        <w:jc w:val="both"/>
        <w:rPr>
          <w:rFonts w:ascii="仿宋_GB2312" w:hAnsi="仿宋_GB2312" w:cs="仿宋_GB2312" w:hint="eastAsia"/>
          <w:kern w:val="2"/>
          <w:sz w:val="32"/>
          <w:szCs w:val="32"/>
        </w:rPr>
      </w:pPr>
      <w:r>
        <w:rPr>
          <w:rStyle w:val="a5"/>
          <w:rFonts w:ascii="楷体_GB2312" w:eastAsia="楷体_GB2312" w:hAnsi="楷体_GB2312" w:cs="楷体_GB2312" w:hint="eastAsia"/>
          <w:color w:val="030303"/>
          <w:sz w:val="32"/>
          <w:szCs w:val="32"/>
        </w:rPr>
        <w:t>（六）其他产业：</w:t>
      </w:r>
      <w:r>
        <w:rPr>
          <w:rFonts w:ascii="仿宋_GB2312" w:hAnsi="仿宋_GB2312" w:cs="仿宋_GB2312" w:hint="eastAsia"/>
          <w:color w:val="030303"/>
          <w:sz w:val="32"/>
          <w:szCs w:val="32"/>
        </w:rPr>
        <w:t>各高校、科研院所可结合实际情况，围绕高端装备制造、集成电路、石油化工、生物医药、纺织、现代农业等产业，申</w:t>
      </w:r>
      <w:r>
        <w:rPr>
          <w:rFonts w:ascii="仿宋_GB2312" w:hAnsi="仿宋_GB2312" w:cs="仿宋_GB2312" w:hint="eastAsia"/>
          <w:color w:val="030303"/>
          <w:sz w:val="32"/>
          <w:szCs w:val="32"/>
        </w:rPr>
        <w:t>报创新性较强、成熟度较高、应用前景广、转化意愿迫切的技术成果。</w:t>
      </w:r>
    </w:p>
    <w:p w:rsidR="00000000" w:rsidRDefault="000D290F">
      <w:pPr>
        <w:pStyle w:val="a8"/>
        <w:spacing w:before="0" w:beforeAutospacing="0" w:after="0" w:afterAutospacing="0" w:line="570" w:lineRule="exact"/>
        <w:ind w:firstLineChars="200" w:firstLine="640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二、申报要求</w:t>
      </w:r>
    </w:p>
    <w:p w:rsidR="00000000" w:rsidRDefault="000D290F" w:rsidP="006A6A4F">
      <w:pPr>
        <w:pStyle w:val="a8"/>
        <w:spacing w:before="0" w:beforeAutospacing="0" w:after="0" w:afterAutospacing="0" w:line="570" w:lineRule="exact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2"/>
          <w:sz w:val="32"/>
          <w:szCs w:val="32"/>
        </w:rPr>
        <w:t>（一）</w:t>
      </w:r>
      <w:r>
        <w:rPr>
          <w:rFonts w:ascii="仿宋_GB2312" w:hAnsi="仿宋_GB2312" w:cs="仿宋_GB2312" w:hint="eastAsia"/>
          <w:sz w:val="32"/>
          <w:szCs w:val="32"/>
        </w:rPr>
        <w:t>由国家、省级</w:t>
      </w:r>
      <w:r>
        <w:rPr>
          <w:rFonts w:ascii="仿宋_GB2312" w:hAnsi="仿宋_GB2312" w:cs="仿宋_GB2312"/>
          <w:sz w:val="32"/>
          <w:szCs w:val="32"/>
        </w:rPr>
        <w:t>财政资金支持</w:t>
      </w:r>
      <w:r>
        <w:rPr>
          <w:rFonts w:ascii="仿宋_GB2312" w:hAnsi="仿宋_GB2312" w:cs="仿宋_GB2312" w:hint="eastAsia"/>
          <w:sz w:val="32"/>
          <w:szCs w:val="32"/>
        </w:rPr>
        <w:t>、列入各级各类科技计划（专项、基金等）的</w:t>
      </w:r>
      <w:r>
        <w:rPr>
          <w:rFonts w:ascii="仿宋_GB2312" w:hAnsi="仿宋_GB2312" w:cs="仿宋_GB2312"/>
          <w:sz w:val="32"/>
          <w:szCs w:val="32"/>
        </w:rPr>
        <w:t>重</w:t>
      </w:r>
      <w:r>
        <w:rPr>
          <w:rFonts w:ascii="仿宋_GB2312" w:hAnsi="仿宋_GB2312" w:cs="仿宋_GB2312" w:hint="eastAsia"/>
          <w:sz w:val="32"/>
          <w:szCs w:val="32"/>
        </w:rPr>
        <w:t>点</w:t>
      </w:r>
      <w:r>
        <w:rPr>
          <w:rFonts w:ascii="仿宋_GB2312" w:hAnsi="仿宋_GB2312" w:cs="仿宋_GB2312"/>
          <w:sz w:val="32"/>
          <w:szCs w:val="32"/>
        </w:rPr>
        <w:t>科技成果</w:t>
      </w:r>
      <w:r>
        <w:rPr>
          <w:rFonts w:ascii="仿宋_GB2312" w:hAnsi="仿宋_GB2312" w:cs="仿宋_GB2312" w:hint="eastAsia"/>
          <w:sz w:val="32"/>
          <w:szCs w:val="32"/>
        </w:rPr>
        <w:t>。</w:t>
      </w:r>
    </w:p>
    <w:p w:rsidR="00000000" w:rsidRDefault="000D290F" w:rsidP="006A6A4F">
      <w:pPr>
        <w:pStyle w:val="a8"/>
        <w:spacing w:before="0" w:beforeAutospacing="0" w:after="0" w:afterAutospacing="0" w:line="570" w:lineRule="exact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</w:t>
      </w:r>
      <w:r>
        <w:rPr>
          <w:rFonts w:ascii="仿宋_GB2312" w:hAnsi="仿宋_GB2312" w:cs="仿宋_GB2312" w:hint="eastAsia"/>
          <w:sz w:val="32"/>
          <w:szCs w:val="32"/>
        </w:rPr>
        <w:t>原则上推荐已进入中试以上阶段或具备开展中试条件的，以及目前尚未转化的重大科技成果。已大规模产业化转化运用的成果不列入本次征集范围。</w:t>
      </w:r>
    </w:p>
    <w:p w:rsidR="00000000" w:rsidRDefault="000D290F" w:rsidP="006A6A4F">
      <w:pPr>
        <w:pStyle w:val="a8"/>
        <w:spacing w:before="0" w:beforeAutospacing="0" w:after="0" w:afterAutospacing="0" w:line="570" w:lineRule="exact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</w:t>
      </w:r>
      <w:r>
        <w:rPr>
          <w:rFonts w:ascii="仿宋_GB2312" w:hAnsi="仿宋_GB2312" w:cs="仿宋_GB2312" w:hint="eastAsia"/>
          <w:sz w:val="32"/>
          <w:szCs w:val="32"/>
        </w:rPr>
        <w:t>请各高校、科研院所</w:t>
      </w:r>
      <w:r>
        <w:rPr>
          <w:rFonts w:ascii="仿宋_GB2312" w:hAnsi="仿宋_GB2312" w:cs="仿宋_GB2312" w:hint="eastAsia"/>
          <w:sz w:val="32"/>
          <w:szCs w:val="32"/>
        </w:rPr>
        <w:t>做好</w:t>
      </w:r>
      <w:r>
        <w:rPr>
          <w:rFonts w:ascii="仿宋_GB2312" w:hAnsi="仿宋_GB2312" w:cs="仿宋_GB2312" w:hint="eastAsia"/>
          <w:sz w:val="32"/>
          <w:szCs w:val="32"/>
        </w:rPr>
        <w:t>成果征集的组织遴选工作，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确保推荐的成果真实有效，每个单位申报成果控制在</w:t>
      </w:r>
      <w:r>
        <w:rPr>
          <w:rFonts w:ascii="仿宋_GB2312" w:hAnsi="仿宋_GB2312" w:cs="仿宋_GB2312" w:hint="eastAsia"/>
          <w:sz w:val="32"/>
          <w:szCs w:val="32"/>
        </w:rPr>
        <w:t>30</w:t>
      </w:r>
      <w:r>
        <w:rPr>
          <w:rFonts w:ascii="仿宋_GB2312" w:hAnsi="仿宋_GB2312" w:cs="仿宋_GB2312" w:hint="eastAsia"/>
          <w:sz w:val="32"/>
          <w:szCs w:val="32"/>
        </w:rPr>
        <w:t>个以内，</w:t>
      </w:r>
      <w:r>
        <w:rPr>
          <w:rFonts w:ascii="仿宋_GB2312" w:hAnsi="仿宋_GB2312" w:cs="仿宋_GB2312" w:hint="eastAsia"/>
          <w:sz w:val="32"/>
          <w:szCs w:val="32"/>
        </w:rPr>
        <w:t>项目汇总表请按技术成熟度先后排序。</w:t>
      </w:r>
    </w:p>
    <w:p w:rsidR="00000000" w:rsidRDefault="000D290F">
      <w:pPr>
        <w:pStyle w:val="a8"/>
        <w:spacing w:before="0" w:beforeAutospacing="0" w:after="0" w:afterAutospacing="0" w:line="570" w:lineRule="exact"/>
        <w:ind w:firstLineChars="200" w:firstLine="640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三、申报方式</w:t>
      </w:r>
    </w:p>
    <w:p w:rsidR="00000000" w:rsidRDefault="000D290F">
      <w:pPr>
        <w:pStyle w:val="a8"/>
        <w:spacing w:before="0" w:beforeAutospacing="0" w:after="0" w:afterAutospacing="0" w:line="570" w:lineRule="exact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请各高校、科研院所认真</w:t>
      </w:r>
      <w:r>
        <w:rPr>
          <w:rFonts w:ascii="仿宋_GB2312" w:hAnsi="仿宋_GB2312" w:cs="仿宋_GB2312"/>
          <w:sz w:val="32"/>
          <w:szCs w:val="32"/>
        </w:rPr>
        <w:t>填写</w:t>
      </w:r>
      <w:r>
        <w:rPr>
          <w:rFonts w:ascii="仿宋_GB2312" w:hAnsi="仿宋_GB2312" w:cs="仿宋_GB2312" w:hint="eastAsia"/>
          <w:sz w:val="32"/>
          <w:szCs w:val="32"/>
        </w:rPr>
        <w:t>科技成果</w:t>
      </w:r>
      <w:r>
        <w:rPr>
          <w:rFonts w:ascii="仿宋_GB2312" w:hAnsi="仿宋_GB2312" w:cs="仿宋_GB2312" w:hint="eastAsia"/>
          <w:sz w:val="32"/>
          <w:szCs w:val="32"/>
        </w:rPr>
        <w:t>转移</w:t>
      </w:r>
      <w:r>
        <w:rPr>
          <w:rFonts w:ascii="仿宋_GB2312" w:hAnsi="仿宋_GB2312" w:cs="仿宋_GB2312" w:hint="eastAsia"/>
          <w:sz w:val="32"/>
          <w:szCs w:val="32"/>
        </w:rPr>
        <w:t>转化重点推</w:t>
      </w:r>
      <w:r>
        <w:rPr>
          <w:rFonts w:ascii="仿宋_GB2312" w:hAnsi="仿宋_GB2312" w:cs="仿宋_GB2312" w:hint="eastAsia"/>
          <w:sz w:val="32"/>
          <w:szCs w:val="32"/>
        </w:rPr>
        <w:t>介</w:t>
      </w:r>
      <w:r>
        <w:rPr>
          <w:rFonts w:ascii="仿宋_GB2312" w:hAnsi="仿宋_GB2312" w:cs="仿宋_GB2312" w:hint="eastAsia"/>
          <w:sz w:val="32"/>
          <w:szCs w:val="32"/>
        </w:rPr>
        <w:t>项目汇总表，于</w:t>
      </w:r>
      <w:r>
        <w:rPr>
          <w:rFonts w:ascii="仿宋_GB2312" w:hAnsi="仿宋_GB2312" w:cs="仿宋_GB2312" w:hint="eastAsia"/>
          <w:sz w:val="32"/>
          <w:szCs w:val="32"/>
        </w:rPr>
        <w:t>11</w:t>
      </w:r>
      <w:r>
        <w:rPr>
          <w:rFonts w:ascii="仿宋_GB2312" w:hAnsi="仿宋_GB2312" w:cs="仿宋_GB2312" w:hint="eastAsia"/>
          <w:sz w:val="32"/>
          <w:szCs w:val="32"/>
        </w:rPr>
        <w:t>月</w:t>
      </w:r>
      <w:r>
        <w:rPr>
          <w:rFonts w:ascii="仿宋_GB2312" w:hAnsi="仿宋_GB2312" w:cs="仿宋_GB2312" w:hint="eastAsia"/>
          <w:sz w:val="32"/>
          <w:szCs w:val="32"/>
        </w:rPr>
        <w:t>28</w:t>
      </w:r>
      <w:r>
        <w:rPr>
          <w:rFonts w:ascii="仿宋_GB2312" w:hAnsi="仿宋_GB2312" w:cs="仿宋_GB2312" w:hint="eastAsia"/>
          <w:sz w:val="32"/>
          <w:szCs w:val="32"/>
        </w:rPr>
        <w:t>日报送至省发改委项目推进处（组委会办公室）邮箱，并请报送该项工作具体负责人名单及联系电话。</w:t>
      </w:r>
    </w:p>
    <w:p w:rsidR="00000000" w:rsidRDefault="000D290F">
      <w:pPr>
        <w:pStyle w:val="a8"/>
        <w:spacing w:before="0" w:beforeAutospacing="0" w:after="0" w:afterAutospacing="0" w:line="570" w:lineRule="exact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</w:p>
    <w:p w:rsidR="00000000" w:rsidRDefault="000D290F">
      <w:pPr>
        <w:pStyle w:val="a8"/>
        <w:spacing w:before="0" w:beforeAutospacing="0" w:after="0" w:afterAutospacing="0" w:line="570" w:lineRule="exact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联系人：李秀清，</w:t>
      </w:r>
      <w:r>
        <w:rPr>
          <w:rFonts w:ascii="仿宋_GB2312" w:hAnsi="仿宋_GB2312" w:cs="仿宋_GB2312" w:hint="eastAsia"/>
          <w:sz w:val="32"/>
          <w:szCs w:val="32"/>
        </w:rPr>
        <w:t>0591-87063495</w:t>
      </w:r>
    </w:p>
    <w:p w:rsidR="00000000" w:rsidRDefault="000D290F">
      <w:pPr>
        <w:pStyle w:val="a8"/>
        <w:spacing w:before="0" w:beforeAutospacing="0" w:after="0" w:afterAutospacing="0" w:line="570" w:lineRule="exact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hAnsi="仿宋_GB2312" w:cs="仿宋_GB2312" w:hint="eastAsia"/>
          <w:sz w:val="32"/>
          <w:szCs w:val="32"/>
        </w:rPr>
        <w:t>林新泉，</w:t>
      </w:r>
      <w:r>
        <w:rPr>
          <w:rFonts w:ascii="仿宋_GB2312" w:hAnsi="仿宋_GB2312" w:cs="仿宋_GB2312" w:hint="eastAsia"/>
          <w:sz w:val="32"/>
          <w:szCs w:val="32"/>
        </w:rPr>
        <w:t>0591-87063590</w:t>
      </w:r>
    </w:p>
    <w:p w:rsidR="00000000" w:rsidRDefault="000D290F">
      <w:pPr>
        <w:pStyle w:val="a8"/>
        <w:spacing w:before="0" w:beforeAutospacing="0" w:after="0" w:afterAutospacing="0" w:line="570" w:lineRule="exact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hAnsi="仿宋_GB2312" w:cs="仿宋_GB2312" w:hint="eastAsia"/>
          <w:sz w:val="32"/>
          <w:szCs w:val="32"/>
        </w:rPr>
        <w:t>陈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>浩，</w:t>
      </w:r>
      <w:r>
        <w:rPr>
          <w:rFonts w:ascii="仿宋_GB2312" w:hAnsi="仿宋_GB2312" w:cs="仿宋_GB2312" w:hint="eastAsia"/>
          <w:sz w:val="32"/>
          <w:szCs w:val="32"/>
        </w:rPr>
        <w:t>0591-87063593</w:t>
      </w:r>
    </w:p>
    <w:p w:rsidR="00000000" w:rsidRDefault="000D290F">
      <w:pPr>
        <w:pStyle w:val="a8"/>
        <w:spacing w:before="0" w:beforeAutospacing="0" w:after="0" w:afterAutospacing="0" w:line="570" w:lineRule="exact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邮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>箱：</w:t>
      </w:r>
      <w:r>
        <w:rPr>
          <w:rFonts w:ascii="仿宋_GB2312" w:hAnsi="仿宋_GB2312" w:cs="仿宋_GB2312" w:hint="eastAsia"/>
          <w:sz w:val="32"/>
          <w:szCs w:val="32"/>
        </w:rPr>
        <w:t>tjc618@618.gov.cn</w:t>
      </w:r>
    </w:p>
    <w:p w:rsidR="00000000" w:rsidRDefault="000D290F">
      <w:pPr>
        <w:pStyle w:val="a8"/>
        <w:spacing w:before="0" w:beforeAutospacing="0" w:after="0" w:afterAutospacing="0" w:line="570" w:lineRule="exact"/>
        <w:ind w:firstLine="555"/>
        <w:rPr>
          <w:rFonts w:ascii="仿宋_GB2312" w:hAnsi="仿宋_GB2312" w:cs="仿宋_GB2312" w:hint="eastAsia"/>
          <w:sz w:val="32"/>
          <w:szCs w:val="32"/>
        </w:rPr>
      </w:pPr>
    </w:p>
    <w:p w:rsidR="00000000" w:rsidRDefault="000D290F">
      <w:pPr>
        <w:pStyle w:val="a8"/>
        <w:spacing w:before="0" w:beforeAutospacing="0" w:after="0" w:afterAutospacing="0" w:line="570" w:lineRule="exact"/>
        <w:ind w:firstLine="555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附件：科技成果转化重点推动项目汇总表</w:t>
      </w:r>
    </w:p>
    <w:p w:rsidR="00000000" w:rsidRDefault="000D290F">
      <w:pPr>
        <w:pStyle w:val="a8"/>
        <w:spacing w:before="0" w:beforeAutospacing="0" w:after="0" w:afterAutospacing="0" w:line="570" w:lineRule="exact"/>
        <w:ind w:firstLine="555"/>
        <w:rPr>
          <w:rFonts w:ascii="仿宋_GB2312" w:hAnsi="仿宋_GB2312" w:cs="仿宋_GB2312" w:hint="eastAsia"/>
          <w:sz w:val="32"/>
          <w:szCs w:val="32"/>
        </w:rPr>
      </w:pPr>
    </w:p>
    <w:p w:rsidR="00000000" w:rsidRDefault="000D290F">
      <w:pPr>
        <w:pStyle w:val="a8"/>
        <w:spacing w:before="0" w:beforeAutospacing="0" w:after="0" w:afterAutospacing="0" w:line="570" w:lineRule="exact"/>
        <w:ind w:firstLine="555"/>
        <w:rPr>
          <w:rFonts w:ascii="仿宋_GB2312" w:hAnsi="仿宋_GB2312" w:cs="仿宋_GB2312" w:hint="eastAsia"/>
          <w:sz w:val="32"/>
          <w:szCs w:val="32"/>
        </w:rPr>
      </w:pPr>
    </w:p>
    <w:p w:rsidR="00000000" w:rsidRDefault="000D290F">
      <w:pPr>
        <w:tabs>
          <w:tab w:val="left" w:pos="5120"/>
        </w:tabs>
        <w:spacing w:line="570" w:lineRule="exact"/>
        <w:rPr>
          <w:rFonts w:ascii="仿宋_GB2312" w:hint="eastAsia"/>
        </w:rPr>
      </w:pPr>
    </w:p>
    <w:p w:rsidR="00000000" w:rsidRDefault="000D290F">
      <w:pPr>
        <w:tabs>
          <w:tab w:val="left" w:pos="5120"/>
        </w:tabs>
        <w:spacing w:line="570" w:lineRule="exact"/>
        <w:ind w:firstLineChars="1450" w:firstLine="4640"/>
        <w:rPr>
          <w:rFonts w:ascii="仿宋_GB2312" w:hAnsi="ˎ̥" w:cs="宋体" w:hint="eastAsia"/>
          <w:bCs/>
          <w:color w:val="000000"/>
          <w:kern w:val="0"/>
          <w:szCs w:val="32"/>
        </w:rPr>
      </w:pPr>
      <w:r>
        <w:rPr>
          <w:rFonts w:ascii="仿宋_GB2312" w:hAnsi="ˎ̥" w:cs="宋体" w:hint="eastAsia"/>
          <w:bCs/>
          <w:color w:val="000000"/>
          <w:kern w:val="0"/>
          <w:szCs w:val="32"/>
        </w:rPr>
        <w:t>福建省发展和改革委员会</w:t>
      </w:r>
    </w:p>
    <w:p w:rsidR="00000000" w:rsidRDefault="000D290F">
      <w:pPr>
        <w:tabs>
          <w:tab w:val="left" w:pos="5120"/>
        </w:tabs>
        <w:spacing w:line="570" w:lineRule="exact"/>
        <w:ind w:firstLineChars="1650" w:firstLine="5280"/>
        <w:rPr>
          <w:rFonts w:ascii="仿宋_GB2312" w:hAnsi="ˎ̥" w:cs="宋体" w:hint="eastAsia"/>
          <w:bCs/>
          <w:color w:val="000000"/>
          <w:kern w:val="0"/>
          <w:szCs w:val="32"/>
        </w:rPr>
      </w:pPr>
      <w:bookmarkStart w:id="1" w:name="dispatch_createyear"/>
      <w:r>
        <w:rPr>
          <w:rFonts w:ascii="仿宋_GB2312" w:hAnsi="ˎ̥" w:cs="宋体" w:hint="eastAsia"/>
          <w:bCs/>
          <w:color w:val="000000"/>
          <w:kern w:val="0"/>
          <w:szCs w:val="32"/>
        </w:rPr>
        <w:t>2018</w:t>
      </w:r>
      <w:bookmarkEnd w:id="1"/>
      <w:r>
        <w:rPr>
          <w:rFonts w:ascii="仿宋_GB2312" w:hAnsi="ˎ̥" w:cs="宋体" w:hint="eastAsia"/>
          <w:bCs/>
          <w:color w:val="000000"/>
          <w:kern w:val="0"/>
          <w:szCs w:val="32"/>
        </w:rPr>
        <w:t>年</w:t>
      </w:r>
      <w:bookmarkStart w:id="2" w:name="dispatch_createmonth"/>
      <w:r>
        <w:rPr>
          <w:rFonts w:ascii="仿宋_GB2312" w:hAnsi="ˎ̥" w:cs="宋体" w:hint="eastAsia"/>
          <w:bCs/>
          <w:color w:val="000000"/>
          <w:kern w:val="0"/>
          <w:szCs w:val="32"/>
        </w:rPr>
        <w:t>11</w:t>
      </w:r>
      <w:bookmarkEnd w:id="2"/>
      <w:r>
        <w:rPr>
          <w:rFonts w:ascii="仿宋_GB2312" w:hAnsi="ˎ̥" w:cs="宋体" w:hint="eastAsia"/>
          <w:bCs/>
          <w:color w:val="000000"/>
          <w:kern w:val="0"/>
          <w:szCs w:val="32"/>
        </w:rPr>
        <w:t>月</w:t>
      </w:r>
      <w:r>
        <w:rPr>
          <w:rFonts w:ascii="仿宋_GB2312" w:hAnsi="ˎ̥" w:cs="宋体" w:hint="eastAsia"/>
          <w:bCs/>
          <w:color w:val="000000"/>
          <w:kern w:val="0"/>
          <w:szCs w:val="32"/>
        </w:rPr>
        <w:t>9</w:t>
      </w:r>
      <w:r>
        <w:rPr>
          <w:rFonts w:ascii="仿宋_GB2312" w:hAnsi="ˎ̥" w:cs="宋体" w:hint="eastAsia"/>
          <w:bCs/>
          <w:color w:val="000000"/>
          <w:kern w:val="0"/>
          <w:szCs w:val="32"/>
        </w:rPr>
        <w:t>日</w:t>
      </w:r>
    </w:p>
    <w:p w:rsidR="00000000" w:rsidRDefault="000D290F">
      <w:pPr>
        <w:spacing w:line="579" w:lineRule="exact"/>
        <w:ind w:leftChars="-88" w:left="-282" w:firstLineChars="88" w:firstLine="246"/>
        <w:textAlignment w:val="bottom"/>
        <w:rPr>
          <w:rFonts w:ascii="仿宋_GB2312" w:hAnsi="仿宋_GB2312" w:cs="仿宋_GB2312" w:hint="eastAsia"/>
          <w:szCs w:val="32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000000" w:rsidRDefault="000D290F">
      <w:pPr>
        <w:pStyle w:val="a8"/>
        <w:widowControl/>
        <w:spacing w:before="0" w:beforeAutospacing="0" w:after="0" w:afterAutospacing="0" w:line="600" w:lineRule="exact"/>
        <w:ind w:firstLine="555"/>
        <w:jc w:val="right"/>
        <w:rPr>
          <w:rFonts w:ascii="仿宋_GB2312" w:hAnsi="仿宋_GB2312" w:cs="仿宋_GB2312" w:hint="eastAsia"/>
          <w:sz w:val="32"/>
          <w:szCs w:val="32"/>
        </w:rPr>
        <w:sectPr w:rsidR="00000000">
          <w:footerReference w:type="even" r:id="rId8"/>
          <w:footerReference w:type="default" r:id="rId9"/>
          <w:pgSz w:w="11906" w:h="16838"/>
          <w:pgMar w:top="2098" w:right="1474" w:bottom="1984" w:left="1587" w:header="851" w:footer="1134" w:gutter="0"/>
          <w:cols w:space="720"/>
          <w:docGrid w:type="lines" w:linePitch="439"/>
        </w:sectPr>
      </w:pPr>
    </w:p>
    <w:p w:rsidR="00000000" w:rsidRDefault="000D290F">
      <w:pPr>
        <w:snapToGrid w:val="0"/>
        <w:spacing w:line="60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</w:p>
    <w:p w:rsidR="00000000" w:rsidRDefault="000D290F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科技成果转移转化重点推介项目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汇总表</w:t>
      </w:r>
    </w:p>
    <w:p w:rsidR="00000000" w:rsidRDefault="000D290F">
      <w:pPr>
        <w:snapToGrid w:val="0"/>
        <w:spacing w:line="600" w:lineRule="exact"/>
        <w:jc w:val="center"/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9"/>
        <w:gridCol w:w="597"/>
        <w:gridCol w:w="506"/>
        <w:gridCol w:w="835"/>
        <w:gridCol w:w="2157"/>
        <w:gridCol w:w="995"/>
        <w:gridCol w:w="808"/>
        <w:gridCol w:w="1440"/>
        <w:gridCol w:w="1130"/>
        <w:gridCol w:w="1272"/>
        <w:gridCol w:w="885"/>
        <w:gridCol w:w="1095"/>
        <w:gridCol w:w="748"/>
      </w:tblGrid>
      <w:tr w:rsidR="00000000">
        <w:trPr>
          <w:trHeight w:val="39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D290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D290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项目名称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D290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技术领域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D290F">
            <w:pPr>
              <w:widowControl/>
              <w:spacing w:line="400" w:lineRule="exact"/>
              <w:jc w:val="center"/>
              <w:textAlignment w:val="bottom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所属科技计划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D290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  <w:lang/>
              </w:rPr>
              <w:t>成果及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/>
              </w:rPr>
              <w:t>技术先进性</w:t>
            </w: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  <w:lang/>
              </w:rPr>
              <w:t>简介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300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字以内）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D290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  <w:lang/>
              </w:rPr>
              <w:t>团队组成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D290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/>
              </w:rPr>
              <w:t>技术成熟度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D290F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 w:hint="eastAsia"/>
                <w:b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  <w:lang/>
              </w:rPr>
              <w:t>市场应用前景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字以内）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D290F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转化方式</w:t>
            </w:r>
          </w:p>
          <w:p w:rsidR="00000000" w:rsidRDefault="000D290F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及资金需求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D290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所在高校</w:t>
            </w:r>
          </w:p>
          <w:p w:rsidR="00000000" w:rsidRDefault="000D290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或科研院所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D290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联系人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D290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联系方式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D290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其他</w:t>
            </w:r>
          </w:p>
        </w:tc>
      </w:tr>
      <w:tr w:rsidR="00000000">
        <w:trPr>
          <w:trHeight w:val="39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9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9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90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D290F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000000" w:rsidRDefault="000D290F">
      <w:pPr>
        <w:snapToGrid w:val="0"/>
        <w:spacing w:line="500" w:lineRule="exact"/>
        <w:rPr>
          <w:rFonts w:ascii="仿宋_GB2312" w:hAnsi="仿宋_GB2312" w:cs="仿宋_GB2312" w:hint="eastAsia"/>
          <w:sz w:val="24"/>
        </w:rPr>
      </w:pPr>
      <w:r>
        <w:rPr>
          <w:rFonts w:ascii="黑体" w:eastAsia="黑体" w:hAnsi="黑体" w:cs="黑体" w:hint="eastAsia"/>
          <w:sz w:val="24"/>
        </w:rPr>
        <w:t>备注：</w:t>
      </w:r>
      <w:r>
        <w:rPr>
          <w:rFonts w:ascii="仿宋_GB2312" w:hAnsi="仿宋_GB2312" w:cs="仿宋_GB2312" w:hint="eastAsia"/>
          <w:b/>
          <w:bCs/>
          <w:sz w:val="24"/>
        </w:rPr>
        <w:t>1.</w:t>
      </w:r>
      <w:r>
        <w:rPr>
          <w:rFonts w:ascii="仿宋_GB2312" w:hAnsi="仿宋_GB2312" w:cs="仿宋_GB2312" w:hint="eastAsia"/>
          <w:b/>
          <w:bCs/>
          <w:sz w:val="24"/>
        </w:rPr>
        <w:t>技术领域：</w:t>
      </w:r>
      <w:r>
        <w:rPr>
          <w:rFonts w:ascii="仿宋_GB2312" w:hAnsi="仿宋_GB2312" w:cs="仿宋_GB2312" w:hint="eastAsia"/>
          <w:sz w:val="24"/>
        </w:rPr>
        <w:t>汽车产业、船舶产业、稀土产业、石墨烯产业、航空装备产业、高端装备制造产业、集成电路产业、石油化工产业、纺织产业、现代农业、其他等；</w:t>
      </w:r>
      <w:r>
        <w:rPr>
          <w:rFonts w:ascii="仿宋_GB2312" w:hAnsi="仿宋_GB2312" w:cs="仿宋_GB2312" w:hint="eastAsia"/>
          <w:b/>
          <w:bCs/>
          <w:sz w:val="24"/>
        </w:rPr>
        <w:t>2.</w:t>
      </w:r>
      <w:r>
        <w:rPr>
          <w:rFonts w:ascii="仿宋_GB2312" w:hAnsi="仿宋_GB2312" w:cs="仿宋_GB2312" w:hint="eastAsia"/>
          <w:b/>
          <w:bCs/>
          <w:sz w:val="24"/>
        </w:rPr>
        <w:t>技术成熟度：</w:t>
      </w:r>
      <w:r>
        <w:rPr>
          <w:rFonts w:ascii="仿宋_GB2312" w:hAnsi="仿宋_GB2312" w:cs="仿宋_GB2312" w:hint="eastAsia"/>
          <w:sz w:val="24"/>
        </w:rPr>
        <w:t>研发、中试、小批量生产、产业化；</w:t>
      </w:r>
      <w:r>
        <w:rPr>
          <w:rFonts w:ascii="仿宋_GB2312" w:hAnsi="仿宋_GB2312" w:cs="仿宋_GB2312" w:hint="eastAsia"/>
          <w:b/>
          <w:bCs/>
          <w:sz w:val="24"/>
        </w:rPr>
        <w:t>3.</w:t>
      </w:r>
      <w:r>
        <w:rPr>
          <w:rFonts w:ascii="仿宋_GB2312" w:hAnsi="仿宋_GB2312" w:cs="仿宋_GB2312" w:hint="eastAsia"/>
          <w:b/>
          <w:bCs/>
          <w:sz w:val="24"/>
        </w:rPr>
        <w:t>市场应用前景：</w:t>
      </w:r>
      <w:r>
        <w:rPr>
          <w:rFonts w:ascii="仿宋_GB2312" w:hAnsi="仿宋_GB2312" w:cs="仿宋_GB2312" w:hint="eastAsia"/>
          <w:sz w:val="24"/>
        </w:rPr>
        <w:t>描述应用领域，市场规模，以及与同</w:t>
      </w:r>
      <w:r>
        <w:rPr>
          <w:rFonts w:ascii="仿宋_GB2312" w:hAnsi="仿宋_GB2312" w:cs="仿宋_GB2312" w:hint="eastAsia"/>
          <w:sz w:val="24"/>
        </w:rPr>
        <w:t>类产品相比的核心竞争力分析等；</w:t>
      </w:r>
      <w:r>
        <w:rPr>
          <w:rFonts w:ascii="仿宋_GB2312" w:hAnsi="仿宋_GB2312" w:cs="仿宋_GB2312" w:hint="eastAsia"/>
          <w:b/>
          <w:bCs/>
          <w:sz w:val="24"/>
        </w:rPr>
        <w:t>4.</w:t>
      </w:r>
      <w:r>
        <w:rPr>
          <w:rFonts w:ascii="仿宋_GB2312" w:hAnsi="仿宋_GB2312" w:cs="仿宋_GB2312" w:hint="eastAsia"/>
          <w:b/>
          <w:bCs/>
          <w:sz w:val="24"/>
        </w:rPr>
        <w:t>转化方式及资金需求：</w:t>
      </w:r>
      <w:r>
        <w:rPr>
          <w:rFonts w:ascii="仿宋_GB2312" w:hAnsi="仿宋_GB2312" w:cs="仿宋_GB2312" w:hint="eastAsia"/>
          <w:sz w:val="24"/>
        </w:rPr>
        <w:t>转让、许可、作价入股、合作研发、股权投资、其它方式，以及资金需求等希望解决的问题。</w:t>
      </w:r>
    </w:p>
    <w:p w:rsidR="00000000" w:rsidRDefault="000D290F">
      <w:pPr>
        <w:snapToGrid w:val="0"/>
        <w:spacing w:line="600" w:lineRule="exact"/>
        <w:jc w:val="center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   </w:t>
      </w:r>
      <w:r>
        <w:rPr>
          <w:rFonts w:ascii="仿宋_GB2312" w:hAnsi="仿宋_GB2312" w:cs="仿宋_GB2312" w:hint="eastAsia"/>
          <w:szCs w:val="32"/>
        </w:rPr>
        <w:t xml:space="preserve">     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hAnsi="仿宋_GB2312" w:cs="仿宋_GB2312" w:hint="eastAsia"/>
          <w:sz w:val="30"/>
          <w:szCs w:val="30"/>
        </w:rPr>
        <w:t>制表人：</w:t>
      </w:r>
      <w:r>
        <w:rPr>
          <w:rFonts w:ascii="仿宋_GB2312" w:hAnsi="仿宋_GB2312" w:cs="仿宋_GB2312" w:hint="eastAsia"/>
          <w:sz w:val="30"/>
          <w:szCs w:val="30"/>
        </w:rPr>
        <w:t xml:space="preserve">       </w:t>
      </w:r>
      <w:r>
        <w:rPr>
          <w:rFonts w:ascii="仿宋_GB2312" w:hAnsi="仿宋_GB2312" w:cs="仿宋_GB2312" w:hint="eastAsia"/>
          <w:sz w:val="30"/>
          <w:szCs w:val="30"/>
        </w:rPr>
        <w:t>联系电话：</w:t>
      </w:r>
    </w:p>
    <w:p w:rsidR="000D290F" w:rsidRDefault="000D290F" w:rsidP="006A6A4F">
      <w:pPr>
        <w:tabs>
          <w:tab w:val="left" w:pos="5120"/>
        </w:tabs>
        <w:spacing w:line="579" w:lineRule="exact"/>
        <w:ind w:leftChars="-88" w:left="-282" w:firstLineChars="187" w:firstLine="524"/>
        <w:textAlignment w:val="bottom"/>
        <w:rPr>
          <w:rFonts w:ascii="仿宋_GB2312" w:hint="eastAsia"/>
        </w:rPr>
      </w:pPr>
      <w:r>
        <w:rPr>
          <w:rFonts w:ascii="仿宋_GB2312" w:hint="eastAsia"/>
          <w:sz w:val="28"/>
          <w:szCs w:val="28"/>
        </w:rPr>
        <w:t>抄送：</w:t>
      </w:r>
      <w:r>
        <w:rPr>
          <w:rFonts w:ascii="仿宋_GB2312" w:hint="eastAsia"/>
          <w:sz w:val="28"/>
          <w:szCs w:val="28"/>
        </w:rPr>
        <w:t>省教育厅、省科技厅。</w:t>
      </w:r>
    </w:p>
    <w:sectPr w:rsidR="000D29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587" w:right="2098" w:bottom="1474" w:left="1985" w:header="851" w:footer="1417" w:gutter="0"/>
      <w:cols w:space="720"/>
      <w:titlePg/>
      <w:docGrid w:type="linesAndChars" w:linePitch="58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90F" w:rsidRDefault="000D290F">
      <w:r>
        <w:separator/>
      </w:r>
    </w:p>
  </w:endnote>
  <w:endnote w:type="continuationSeparator" w:id="1">
    <w:p w:rsidR="000D290F" w:rsidRDefault="000D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290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58" type="#_x0000_t202" style="position:absolute;margin-left:104pt;margin-top:0;width:2in;height:2in;z-index: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D290F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rFonts w:hint="eastAsia"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290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2057" type="#_x0000_t202" style="position:absolute;margin-left:104pt;margin-top:0;width:2in;height:2in;z-index:5;mso-wrap-style:none;mso-position-horizontal:outside;mso-position-horizontal-relative:margin" filled="f" stroked="f">
          <v:textbox style="mso-fit-shape-to-text:t" inset="0,0,0,0">
            <w:txbxContent>
              <w:p w:rsidR="00000000" w:rsidRDefault="000D290F">
                <w:pPr>
                  <w:snapToGrid w:val="0"/>
                  <w:ind w:leftChars="150" w:left="480" w:rightChars="150" w:right="48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A6A4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290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56" type="#_x0000_t202" style="position:absolute;margin-left:104pt;margin-top:0;width:2in;height:2in;z-index:4;mso-wrap-style:none;mso-position-horizontal:outside;mso-position-horizontal-relative:margin" filled="f" stroked="f">
          <v:textbox style="mso-fit-shape-to-text:t" inset="0,0,0,0">
            <w:txbxContent>
              <w:p w:rsidR="00000000" w:rsidRDefault="000D290F">
                <w:pPr>
                  <w:snapToGrid w:val="0"/>
                  <w:ind w:leftChars="150" w:left="480" w:rightChars="150" w:right="480"/>
                  <w:rPr>
                    <w:rFonts w:eastAsia="宋体"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A6A4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290F">
    <w:pPr>
      <w:pStyle w:val="a3"/>
      <w:rPr>
        <w:rFonts w:hint="eastAsia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4" type="#_x0000_t202" style="position:absolute;margin-left:104pt;margin-top:0;width:2in;height:2in;z-index: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D290F">
                <w:pPr>
                  <w:pStyle w:val="a3"/>
                  <w:ind w:leftChars="150" w:left="480" w:rightChars="150" w:right="480"/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</w:pPr>
                <w:r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4"/>
                    <w:rFonts w:ascii="宋体" w:eastAsia="宋体" w:hAnsi="宋体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  <w:p w:rsidR="00000000" w:rsidRDefault="000D290F"/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290F">
    <w:pPr>
      <w:pStyle w:val="a3"/>
      <w:ind w:right="140"/>
      <w:jc w:val="right"/>
      <w:rPr>
        <w:rFonts w:hint="eastAsia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3" type="#_x0000_t202" style="position:absolute;left:0;text-align:left;margin-left:104pt;margin-top:0;width:2in;height:2in;z-index:1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D290F">
                <w:pPr>
                  <w:pStyle w:val="a3"/>
                  <w:ind w:leftChars="150" w:left="480" w:rightChars="150" w:right="480"/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</w:pPr>
                <w:r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4"/>
                    <w:rFonts w:ascii="宋体" w:eastAsia="宋体" w:hAnsi="宋体"/>
                    <w:sz w:val="28"/>
                    <w:szCs w:val="28"/>
                  </w:rPr>
                  <w:t>7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  <w:p w:rsidR="00000000" w:rsidRDefault="000D290F"/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290F">
    <w:pPr>
      <w:pStyle w:val="a3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5" type="#_x0000_t202" style="position:absolute;left:0;text-align:left;margin-left:104pt;margin-top:0;width:2in;height:2in;z-index:3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D290F">
                <w:pPr>
                  <w:snapToGrid w:val="0"/>
                  <w:ind w:leftChars="150" w:left="480" w:rightChars="150" w:right="48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A6A4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90F" w:rsidRDefault="000D290F">
      <w:r>
        <w:separator/>
      </w:r>
    </w:p>
  </w:footnote>
  <w:footnote w:type="continuationSeparator" w:id="1">
    <w:p w:rsidR="000D290F" w:rsidRDefault="000D2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29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290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290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20"/>
  <w:evenAndOddHeaders/>
  <w:drawingGridHorizontalSpacing w:val="160"/>
  <w:drawingGridVerticalSpacing w:val="220"/>
  <w:noPunctuationKerning/>
  <w:characterSpacingControl w:val="compressPunctuation"/>
  <w:hdrShapeDefaults>
    <o:shapedefaults v:ext="edit" spidmax="308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76"/>
    <w:rsid w:val="0001488B"/>
    <w:rsid w:val="00020644"/>
    <w:rsid w:val="0002674F"/>
    <w:rsid w:val="00046053"/>
    <w:rsid w:val="00052780"/>
    <w:rsid w:val="00064D27"/>
    <w:rsid w:val="0007340B"/>
    <w:rsid w:val="00076F49"/>
    <w:rsid w:val="00084808"/>
    <w:rsid w:val="00091C90"/>
    <w:rsid w:val="0009390D"/>
    <w:rsid w:val="000A03F1"/>
    <w:rsid w:val="000A78AD"/>
    <w:rsid w:val="000C0C75"/>
    <w:rsid w:val="000C4616"/>
    <w:rsid w:val="000D031A"/>
    <w:rsid w:val="000D290F"/>
    <w:rsid w:val="000D2D9B"/>
    <w:rsid w:val="000D530D"/>
    <w:rsid w:val="001021E1"/>
    <w:rsid w:val="00103BC6"/>
    <w:rsid w:val="0010596E"/>
    <w:rsid w:val="001166AA"/>
    <w:rsid w:val="00124349"/>
    <w:rsid w:val="00124E5D"/>
    <w:rsid w:val="00126AC8"/>
    <w:rsid w:val="001301A3"/>
    <w:rsid w:val="001374D7"/>
    <w:rsid w:val="00137CDF"/>
    <w:rsid w:val="00160D4F"/>
    <w:rsid w:val="00161C86"/>
    <w:rsid w:val="001653D2"/>
    <w:rsid w:val="00166ED0"/>
    <w:rsid w:val="001859D9"/>
    <w:rsid w:val="001A4331"/>
    <w:rsid w:val="001C0804"/>
    <w:rsid w:val="001C43CC"/>
    <w:rsid w:val="001D3569"/>
    <w:rsid w:val="001D35E2"/>
    <w:rsid w:val="001D5053"/>
    <w:rsid w:val="001E28D8"/>
    <w:rsid w:val="00234A35"/>
    <w:rsid w:val="002571D7"/>
    <w:rsid w:val="00262B57"/>
    <w:rsid w:val="00267C76"/>
    <w:rsid w:val="00290561"/>
    <w:rsid w:val="00291333"/>
    <w:rsid w:val="00294B23"/>
    <w:rsid w:val="002B4B7E"/>
    <w:rsid w:val="002D065D"/>
    <w:rsid w:val="002E0C97"/>
    <w:rsid w:val="002E2A9B"/>
    <w:rsid w:val="002F3D0B"/>
    <w:rsid w:val="00302D72"/>
    <w:rsid w:val="00303733"/>
    <w:rsid w:val="003049CA"/>
    <w:rsid w:val="0030583E"/>
    <w:rsid w:val="00312F0C"/>
    <w:rsid w:val="00323E59"/>
    <w:rsid w:val="00325472"/>
    <w:rsid w:val="00340571"/>
    <w:rsid w:val="0034486A"/>
    <w:rsid w:val="00346DAF"/>
    <w:rsid w:val="00350A9E"/>
    <w:rsid w:val="00364E82"/>
    <w:rsid w:val="003707B2"/>
    <w:rsid w:val="0037121D"/>
    <w:rsid w:val="003809A0"/>
    <w:rsid w:val="00391A21"/>
    <w:rsid w:val="003A2C02"/>
    <w:rsid w:val="003A635C"/>
    <w:rsid w:val="003C01EF"/>
    <w:rsid w:val="003D0280"/>
    <w:rsid w:val="003D23E1"/>
    <w:rsid w:val="003E5025"/>
    <w:rsid w:val="00403E53"/>
    <w:rsid w:val="004051FC"/>
    <w:rsid w:val="00406D33"/>
    <w:rsid w:val="00407234"/>
    <w:rsid w:val="00434D3B"/>
    <w:rsid w:val="00477744"/>
    <w:rsid w:val="00480EAD"/>
    <w:rsid w:val="00482BD7"/>
    <w:rsid w:val="0048603F"/>
    <w:rsid w:val="00490A76"/>
    <w:rsid w:val="00492FDB"/>
    <w:rsid w:val="00494CFE"/>
    <w:rsid w:val="0049552B"/>
    <w:rsid w:val="00497145"/>
    <w:rsid w:val="004A14D4"/>
    <w:rsid w:val="004B2F31"/>
    <w:rsid w:val="004D1708"/>
    <w:rsid w:val="004D7494"/>
    <w:rsid w:val="004E09BE"/>
    <w:rsid w:val="004F5D29"/>
    <w:rsid w:val="00500925"/>
    <w:rsid w:val="005052AC"/>
    <w:rsid w:val="00510B7D"/>
    <w:rsid w:val="00515991"/>
    <w:rsid w:val="005159FC"/>
    <w:rsid w:val="005246F2"/>
    <w:rsid w:val="0053515D"/>
    <w:rsid w:val="00550D04"/>
    <w:rsid w:val="00552B04"/>
    <w:rsid w:val="00553A65"/>
    <w:rsid w:val="00553F31"/>
    <w:rsid w:val="00560A0D"/>
    <w:rsid w:val="00570891"/>
    <w:rsid w:val="00577866"/>
    <w:rsid w:val="0058219B"/>
    <w:rsid w:val="0059197A"/>
    <w:rsid w:val="005A0F3B"/>
    <w:rsid w:val="005A4490"/>
    <w:rsid w:val="005B144C"/>
    <w:rsid w:val="005B36E7"/>
    <w:rsid w:val="005B53CE"/>
    <w:rsid w:val="005B5480"/>
    <w:rsid w:val="005C55A2"/>
    <w:rsid w:val="005C714D"/>
    <w:rsid w:val="005D0165"/>
    <w:rsid w:val="005D08A2"/>
    <w:rsid w:val="005D1E2F"/>
    <w:rsid w:val="005D2F80"/>
    <w:rsid w:val="005D6177"/>
    <w:rsid w:val="00604A74"/>
    <w:rsid w:val="0060555F"/>
    <w:rsid w:val="0060670C"/>
    <w:rsid w:val="0061125A"/>
    <w:rsid w:val="00622D07"/>
    <w:rsid w:val="0062627D"/>
    <w:rsid w:val="00627D01"/>
    <w:rsid w:val="0063332D"/>
    <w:rsid w:val="00645899"/>
    <w:rsid w:val="0065181C"/>
    <w:rsid w:val="006555D9"/>
    <w:rsid w:val="006671C0"/>
    <w:rsid w:val="0067683D"/>
    <w:rsid w:val="006805A6"/>
    <w:rsid w:val="00683E19"/>
    <w:rsid w:val="006879AD"/>
    <w:rsid w:val="006948E3"/>
    <w:rsid w:val="00694ADA"/>
    <w:rsid w:val="006A17D0"/>
    <w:rsid w:val="006A6A4F"/>
    <w:rsid w:val="006B07C7"/>
    <w:rsid w:val="006E2F22"/>
    <w:rsid w:val="0070049E"/>
    <w:rsid w:val="0070075B"/>
    <w:rsid w:val="00721FBD"/>
    <w:rsid w:val="0072551D"/>
    <w:rsid w:val="00736525"/>
    <w:rsid w:val="00736E7D"/>
    <w:rsid w:val="00750385"/>
    <w:rsid w:val="00760382"/>
    <w:rsid w:val="00772BEF"/>
    <w:rsid w:val="00774B4D"/>
    <w:rsid w:val="00777901"/>
    <w:rsid w:val="007811DD"/>
    <w:rsid w:val="007C1497"/>
    <w:rsid w:val="007C3C14"/>
    <w:rsid w:val="007D1DDC"/>
    <w:rsid w:val="007E66C9"/>
    <w:rsid w:val="007F15EB"/>
    <w:rsid w:val="00810567"/>
    <w:rsid w:val="008141FA"/>
    <w:rsid w:val="00814E28"/>
    <w:rsid w:val="0081664F"/>
    <w:rsid w:val="00823170"/>
    <w:rsid w:val="008268A1"/>
    <w:rsid w:val="00845FA0"/>
    <w:rsid w:val="00850D26"/>
    <w:rsid w:val="00863040"/>
    <w:rsid w:val="0087740D"/>
    <w:rsid w:val="00877A8C"/>
    <w:rsid w:val="008D6C92"/>
    <w:rsid w:val="009032D8"/>
    <w:rsid w:val="00905D8A"/>
    <w:rsid w:val="00917E75"/>
    <w:rsid w:val="009240BF"/>
    <w:rsid w:val="00964474"/>
    <w:rsid w:val="0096488C"/>
    <w:rsid w:val="00976691"/>
    <w:rsid w:val="00986715"/>
    <w:rsid w:val="009906DD"/>
    <w:rsid w:val="009A1838"/>
    <w:rsid w:val="009A200C"/>
    <w:rsid w:val="009A25BF"/>
    <w:rsid w:val="009A6F31"/>
    <w:rsid w:val="009B2CD0"/>
    <w:rsid w:val="009B319D"/>
    <w:rsid w:val="009B6D0F"/>
    <w:rsid w:val="009D7F10"/>
    <w:rsid w:val="009E255E"/>
    <w:rsid w:val="009F510E"/>
    <w:rsid w:val="009F663A"/>
    <w:rsid w:val="00A04A62"/>
    <w:rsid w:val="00A05B33"/>
    <w:rsid w:val="00A07017"/>
    <w:rsid w:val="00A121A0"/>
    <w:rsid w:val="00A20ECF"/>
    <w:rsid w:val="00A224B3"/>
    <w:rsid w:val="00A35CC7"/>
    <w:rsid w:val="00A415AF"/>
    <w:rsid w:val="00A41C21"/>
    <w:rsid w:val="00A7685B"/>
    <w:rsid w:val="00A87902"/>
    <w:rsid w:val="00A95003"/>
    <w:rsid w:val="00AA1064"/>
    <w:rsid w:val="00AA2D10"/>
    <w:rsid w:val="00AB01B4"/>
    <w:rsid w:val="00AB33AB"/>
    <w:rsid w:val="00AB6C98"/>
    <w:rsid w:val="00AC1616"/>
    <w:rsid w:val="00AC4BCD"/>
    <w:rsid w:val="00AC62FF"/>
    <w:rsid w:val="00AD56C0"/>
    <w:rsid w:val="00AF0AA0"/>
    <w:rsid w:val="00AF4A1C"/>
    <w:rsid w:val="00AF508F"/>
    <w:rsid w:val="00B07C84"/>
    <w:rsid w:val="00B1196F"/>
    <w:rsid w:val="00B11DFA"/>
    <w:rsid w:val="00B15A1F"/>
    <w:rsid w:val="00B2335A"/>
    <w:rsid w:val="00B35289"/>
    <w:rsid w:val="00B45AAB"/>
    <w:rsid w:val="00B5260D"/>
    <w:rsid w:val="00B66C69"/>
    <w:rsid w:val="00B72F94"/>
    <w:rsid w:val="00B736B4"/>
    <w:rsid w:val="00BB6486"/>
    <w:rsid w:val="00BB6CAF"/>
    <w:rsid w:val="00BC06FF"/>
    <w:rsid w:val="00BC1A90"/>
    <w:rsid w:val="00BD3CB9"/>
    <w:rsid w:val="00BE15D2"/>
    <w:rsid w:val="00BF0F6A"/>
    <w:rsid w:val="00BF256B"/>
    <w:rsid w:val="00BF7DB7"/>
    <w:rsid w:val="00C014BE"/>
    <w:rsid w:val="00C02ABD"/>
    <w:rsid w:val="00C12EDD"/>
    <w:rsid w:val="00C156B5"/>
    <w:rsid w:val="00C26316"/>
    <w:rsid w:val="00C33A43"/>
    <w:rsid w:val="00C378E1"/>
    <w:rsid w:val="00C415BF"/>
    <w:rsid w:val="00C43417"/>
    <w:rsid w:val="00C57827"/>
    <w:rsid w:val="00C60FB3"/>
    <w:rsid w:val="00C63E40"/>
    <w:rsid w:val="00C64085"/>
    <w:rsid w:val="00C72CAB"/>
    <w:rsid w:val="00C74D9B"/>
    <w:rsid w:val="00C77E74"/>
    <w:rsid w:val="00C8179E"/>
    <w:rsid w:val="00C85D65"/>
    <w:rsid w:val="00C91FDC"/>
    <w:rsid w:val="00C92BA6"/>
    <w:rsid w:val="00C959E8"/>
    <w:rsid w:val="00CA025B"/>
    <w:rsid w:val="00CA4E01"/>
    <w:rsid w:val="00CA73CF"/>
    <w:rsid w:val="00CC5125"/>
    <w:rsid w:val="00CD53BB"/>
    <w:rsid w:val="00CE5526"/>
    <w:rsid w:val="00CE6180"/>
    <w:rsid w:val="00CF0D04"/>
    <w:rsid w:val="00CF5B09"/>
    <w:rsid w:val="00D004BE"/>
    <w:rsid w:val="00D05269"/>
    <w:rsid w:val="00D178B8"/>
    <w:rsid w:val="00D32A1A"/>
    <w:rsid w:val="00D42933"/>
    <w:rsid w:val="00D44D4D"/>
    <w:rsid w:val="00D537A9"/>
    <w:rsid w:val="00D5777D"/>
    <w:rsid w:val="00D872BC"/>
    <w:rsid w:val="00D900CC"/>
    <w:rsid w:val="00D90B73"/>
    <w:rsid w:val="00DA0713"/>
    <w:rsid w:val="00DB5E2D"/>
    <w:rsid w:val="00DB6F22"/>
    <w:rsid w:val="00DB7200"/>
    <w:rsid w:val="00DB795A"/>
    <w:rsid w:val="00DC57C5"/>
    <w:rsid w:val="00DE1207"/>
    <w:rsid w:val="00DE2505"/>
    <w:rsid w:val="00DF0DC9"/>
    <w:rsid w:val="00E12F62"/>
    <w:rsid w:val="00E15983"/>
    <w:rsid w:val="00E15B48"/>
    <w:rsid w:val="00E1628A"/>
    <w:rsid w:val="00E71949"/>
    <w:rsid w:val="00E733FA"/>
    <w:rsid w:val="00E772B2"/>
    <w:rsid w:val="00E91FD7"/>
    <w:rsid w:val="00E93C51"/>
    <w:rsid w:val="00EA37F8"/>
    <w:rsid w:val="00EC6E29"/>
    <w:rsid w:val="00EE226D"/>
    <w:rsid w:val="00EF4390"/>
    <w:rsid w:val="00F0055B"/>
    <w:rsid w:val="00F05C78"/>
    <w:rsid w:val="00F3537F"/>
    <w:rsid w:val="00F372E5"/>
    <w:rsid w:val="00F4132A"/>
    <w:rsid w:val="00F42CBB"/>
    <w:rsid w:val="00F45CDF"/>
    <w:rsid w:val="00F926DB"/>
    <w:rsid w:val="00F94A6D"/>
    <w:rsid w:val="00F95151"/>
    <w:rsid w:val="00FA7D04"/>
    <w:rsid w:val="00FA7EDD"/>
    <w:rsid w:val="00FB6791"/>
    <w:rsid w:val="00FB7F28"/>
    <w:rsid w:val="00FC3384"/>
    <w:rsid w:val="00FD72FF"/>
    <w:rsid w:val="065B1A0E"/>
    <w:rsid w:val="2A246B87"/>
    <w:rsid w:val="30EE0E8D"/>
    <w:rsid w:val="30F77C0E"/>
    <w:rsid w:val="39B14BC6"/>
    <w:rsid w:val="411D1714"/>
    <w:rsid w:val="44BD556F"/>
    <w:rsid w:val="4E5D3B07"/>
    <w:rsid w:val="6BD1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hint="eastAsia"/>
      <w:b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Pr>
      <w:rFonts w:eastAsia="仿宋_GB2312"/>
      <w:kern w:val="2"/>
      <w:sz w:val="18"/>
      <w:szCs w:val="18"/>
    </w:rPr>
  </w:style>
  <w:style w:type="character" w:styleId="a4">
    <w:name w:val="page number"/>
    <w:basedOn w:val="a0"/>
  </w:style>
  <w:style w:type="character" w:customStyle="1" w:styleId="style6">
    <w:name w:val="style6"/>
    <w:basedOn w:val="a0"/>
  </w:style>
  <w:style w:type="character" w:styleId="a5">
    <w:name w:val="Strong"/>
    <w:basedOn w:val="a0"/>
    <w:qFormat/>
    <w:rPr>
      <w:rFonts w:ascii="Times New Roman" w:eastAsia="宋体" w:hAnsi="Times New Roman" w:cs="Times New Roman"/>
      <w:b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Date"/>
    <w:basedOn w:val="a"/>
    <w:next w:val="a"/>
    <w:rPr>
      <w:rFonts w:ascii="仿宋_GB2312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1425</Characters>
  <Application>Microsoft Office Word</Application>
  <DocSecurity>0</DocSecurity>
  <Lines>11</Lines>
  <Paragraphs>3</Paragraphs>
  <ScaleCrop>false</ScaleCrop>
  <Company>微软中国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赵红</dc:creator>
  <cp:lastModifiedBy>xbany</cp:lastModifiedBy>
  <cp:revision>2</cp:revision>
  <cp:lastPrinted>2007-04-03T06:25:00Z</cp:lastPrinted>
  <dcterms:created xsi:type="dcterms:W3CDTF">2018-11-15T01:39:00Z</dcterms:created>
  <dcterms:modified xsi:type="dcterms:W3CDTF">2018-11-15T01:39:00Z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